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C4" w:rsidRPr="007F52C4" w:rsidRDefault="00B0353D" w:rsidP="007F52C4">
      <w:pPr>
        <w:pStyle w:val="Heading1"/>
        <w:shd w:val="clear" w:color="auto" w:fill="FFFFFF"/>
        <w:spacing w:before="150" w:after="75" w:line="675" w:lineRule="atLeast"/>
        <w:jc w:val="center"/>
        <w:rPr>
          <w:rFonts w:ascii="Vidaloka" w:hAnsi="Vidaloka"/>
          <w:b w:val="0"/>
          <w:bCs w:val="0"/>
          <w:spacing w:val="-30"/>
          <w:sz w:val="68"/>
          <w:szCs w:val="68"/>
          <w:lang w:val="fr-CA"/>
        </w:rPr>
      </w:pPr>
      <w:r>
        <w:rPr>
          <w:rFonts w:ascii="Arial" w:hAnsi="Arial" w:cs="Arial"/>
          <w:noProof/>
          <w:color w:val="2B2E31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57pt;margin-top:55.95pt;width:63pt;height:35.55pt;z-index:251669504" o:connectortype="straight">
            <v:stroke endarrow="block"/>
          </v:shape>
        </w:pict>
      </w:r>
      <w:r w:rsidR="00EB10C1">
        <w:rPr>
          <w:rFonts w:ascii="Arial" w:hAnsi="Arial" w:cs="Arial"/>
          <w:noProof/>
          <w:color w:val="2B2E31"/>
          <w:sz w:val="26"/>
          <w:szCs w:val="26"/>
        </w:rPr>
        <w:pict>
          <v:shape id="_x0000_s1031" type="#_x0000_t32" style="position:absolute;left:0;text-align:left;margin-left:-19.65pt;margin-top:-.75pt;width:29.4pt;height:25.5pt;z-index:251665408" o:connectortype="straight">
            <v:stroke endarrow="block"/>
          </v:shape>
        </w:pict>
      </w:r>
      <w:r w:rsidR="00EB10C1">
        <w:rPr>
          <w:rFonts w:ascii="Arial" w:hAnsi="Arial" w:cs="Arial"/>
          <w:noProof/>
          <w:color w:val="2B2E3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19.65pt;margin-top:-20.25pt;width:42.9pt;height:19.5pt;z-index:251668480;mso-width-relative:margin;mso-height-relative:margin">
            <v:textbox>
              <w:txbxContent>
                <w:p w:rsidR="00D952B2" w:rsidRDefault="00D952B2" w:rsidP="00EB10C1">
                  <w:proofErr w:type="spellStart"/>
                  <w:proofErr w:type="gramStart"/>
                  <w:r>
                    <w:t>titre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EB10C1">
        <w:rPr>
          <w:rFonts w:ascii="Arial" w:hAnsi="Arial" w:cs="Arial"/>
          <w:noProof/>
          <w:color w:val="2B2E31"/>
          <w:sz w:val="26"/>
          <w:szCs w:val="26"/>
        </w:rPr>
        <w:pict>
          <v:shape id="_x0000_s1030" type="#_x0000_t32" style="position:absolute;left:0;text-align:left;margin-left:428.25pt;margin-top:70.5pt;width:51pt;height:15pt;flip:x;z-index:251664384" o:connectortype="straight">
            <v:stroke endarrow="block"/>
          </v:shape>
        </w:pict>
      </w:r>
      <w:r w:rsidR="006C2C58">
        <w:rPr>
          <w:rFonts w:ascii="Arial" w:hAnsi="Arial" w:cs="Arial"/>
          <w:noProof/>
          <w:color w:val="2B2E31"/>
          <w:sz w:val="26"/>
          <w:szCs w:val="26"/>
        </w:rPr>
        <w:pict>
          <v:shape id="_x0000_s1027" type="#_x0000_t202" style="position:absolute;left:0;text-align:left;margin-left:-9.9pt;margin-top:51.75pt;width:66.9pt;height:33.75pt;z-index:251661312;mso-width-relative:margin;mso-height-relative:margin">
            <v:textbox>
              <w:txbxContent>
                <w:p w:rsidR="00D952B2" w:rsidRDefault="00D952B2" w:rsidP="006C2C58">
                  <w:proofErr w:type="gramStart"/>
                  <w:r>
                    <w:t>date</w:t>
                  </w:r>
                  <w:proofErr w:type="gramEnd"/>
                  <w:r>
                    <w:t xml:space="preserve"> de publication</w:t>
                  </w:r>
                </w:p>
              </w:txbxContent>
            </v:textbox>
          </v:shape>
        </w:pict>
      </w:r>
      <w:r w:rsidR="006C2C58" w:rsidRPr="006C2C58">
        <w:rPr>
          <w:rFonts w:ascii="Arial" w:hAnsi="Arial" w:cs="Arial"/>
          <w:noProof/>
          <w:color w:val="2B2E31"/>
          <w:sz w:val="26"/>
          <w:szCs w:val="26"/>
          <w:lang w:val="fr-CA" w:eastAsia="zh-TW"/>
        </w:rPr>
        <w:pict>
          <v:shape id="_x0000_s1026" type="#_x0000_t202" style="position:absolute;left:0;text-align:left;margin-left:483.55pt;margin-top:63.75pt;width:45.35pt;height:17.7pt;z-index:251660288;mso-width-relative:margin;mso-height-relative:margin">
            <v:textbox style="mso-next-textbox:#_x0000_s1026">
              <w:txbxContent>
                <w:p w:rsidR="00D952B2" w:rsidRDefault="00D952B2">
                  <w:proofErr w:type="gramStart"/>
                  <w:r>
                    <w:t>source</w:t>
                  </w:r>
                  <w:proofErr w:type="gramEnd"/>
                </w:p>
              </w:txbxContent>
            </v:textbox>
          </v:shape>
        </w:pict>
      </w:r>
      <w:r w:rsidR="007F52C4" w:rsidRPr="007F52C4">
        <w:rPr>
          <w:rFonts w:ascii="Vidaloka" w:hAnsi="Vidaloka"/>
          <w:b w:val="0"/>
          <w:bCs w:val="0"/>
          <w:spacing w:val="-30"/>
          <w:sz w:val="68"/>
          <w:szCs w:val="68"/>
          <w:lang w:val="fr-CA"/>
        </w:rPr>
        <w:t>La vaisselle</w:t>
      </w:r>
      <w:r w:rsidR="00195E92">
        <w:rPr>
          <w:rStyle w:val="FootnoteReference"/>
          <w:rFonts w:ascii="Vidaloka" w:hAnsi="Vidaloka"/>
          <w:b w:val="0"/>
          <w:bCs w:val="0"/>
          <w:spacing w:val="-30"/>
          <w:sz w:val="68"/>
          <w:szCs w:val="68"/>
          <w:lang w:val="fr-CA"/>
        </w:rPr>
        <w:footnoteReference w:id="1"/>
      </w:r>
      <w:r w:rsidR="007F52C4" w:rsidRPr="007F52C4">
        <w:rPr>
          <w:rFonts w:ascii="Vidaloka" w:hAnsi="Vidaloka"/>
          <w:b w:val="0"/>
          <w:bCs w:val="0"/>
          <w:spacing w:val="-30"/>
          <w:sz w:val="68"/>
          <w:szCs w:val="68"/>
          <w:lang w:val="fr-CA"/>
        </w:rPr>
        <w:t xml:space="preserve"> jetable</w:t>
      </w:r>
      <w:r w:rsidR="00195E92">
        <w:rPr>
          <w:rStyle w:val="FootnoteReference"/>
          <w:rFonts w:ascii="Vidaloka" w:hAnsi="Vidaloka"/>
          <w:b w:val="0"/>
          <w:bCs w:val="0"/>
          <w:spacing w:val="-30"/>
          <w:sz w:val="68"/>
          <w:szCs w:val="68"/>
          <w:lang w:val="fr-CA"/>
        </w:rPr>
        <w:footnoteReference w:id="2"/>
      </w:r>
      <w:r w:rsidR="007F52C4" w:rsidRPr="007F52C4">
        <w:rPr>
          <w:rFonts w:ascii="Vidaloka" w:hAnsi="Vidaloka"/>
          <w:b w:val="0"/>
          <w:bCs w:val="0"/>
          <w:spacing w:val="-30"/>
          <w:sz w:val="68"/>
          <w:szCs w:val="68"/>
          <w:lang w:val="fr-CA"/>
        </w:rPr>
        <w:t xml:space="preserve"> en plastique, interdite</w:t>
      </w:r>
      <w:r w:rsidR="00195E92">
        <w:rPr>
          <w:rStyle w:val="FootnoteReference"/>
          <w:rFonts w:ascii="Vidaloka" w:hAnsi="Vidaloka"/>
          <w:b w:val="0"/>
          <w:bCs w:val="0"/>
          <w:spacing w:val="-30"/>
          <w:sz w:val="68"/>
          <w:szCs w:val="68"/>
          <w:lang w:val="fr-CA"/>
        </w:rPr>
        <w:footnoteReference w:id="3"/>
      </w:r>
      <w:r w:rsidR="007F52C4" w:rsidRPr="007F52C4">
        <w:rPr>
          <w:rFonts w:ascii="Vidaloka" w:hAnsi="Vidaloka"/>
          <w:b w:val="0"/>
          <w:bCs w:val="0"/>
          <w:spacing w:val="-30"/>
          <w:sz w:val="68"/>
          <w:szCs w:val="68"/>
          <w:lang w:val="fr-CA"/>
        </w:rPr>
        <w:t xml:space="preserve"> dès 2020 en France</w:t>
      </w:r>
    </w:p>
    <w:p w:rsidR="007F52C4" w:rsidRPr="006C2C58" w:rsidRDefault="00EB10C1" w:rsidP="007F52C4">
      <w:pPr>
        <w:shd w:val="clear" w:color="auto" w:fill="FFFFFF"/>
        <w:jc w:val="center"/>
        <w:rPr>
          <w:rFonts w:ascii="PT Sans Narrow" w:hAnsi="PT Sans Narrow"/>
          <w:caps/>
          <w:color w:val="A8A8A8"/>
          <w:spacing w:val="15"/>
          <w:sz w:val="23"/>
          <w:szCs w:val="23"/>
          <w:lang w:val="fr-CA"/>
        </w:rPr>
      </w:pPr>
      <w:r>
        <w:rPr>
          <w:rFonts w:ascii="PT Sans Narrow" w:hAnsi="PT Sans Narrow"/>
          <w:caps/>
          <w:noProof/>
          <w:color w:val="A8A8A8"/>
          <w:spacing w:val="15"/>
          <w:sz w:val="23"/>
          <w:szCs w:val="23"/>
        </w:rPr>
        <w:pict>
          <v:shape id="_x0000_s1029" type="#_x0000_t32" style="position:absolute;left:0;text-align:left;margin-left:338.25pt;margin-top:11.05pt;width:141pt;height:14.25pt;flip:x y;z-index:251663360" o:connectortype="straight">
            <v:stroke endarrow="block"/>
          </v:shape>
        </w:pict>
      </w:r>
      <w:r w:rsidR="007F52C4" w:rsidRPr="006C2C58">
        <w:rPr>
          <w:rFonts w:ascii="PT Sans Narrow" w:hAnsi="PT Sans Narrow"/>
          <w:caps/>
          <w:color w:val="A8A8A8"/>
          <w:spacing w:val="15"/>
          <w:sz w:val="23"/>
          <w:szCs w:val="23"/>
          <w:lang w:val="fr-CA"/>
        </w:rPr>
        <w:t>20 SEPTEMBRE 2016</w:t>
      </w:r>
      <w:r>
        <w:rPr>
          <w:rFonts w:ascii="PT Sans Narrow" w:hAnsi="PT Sans Narrow"/>
          <w:caps/>
          <w:color w:val="A8A8A8"/>
          <w:spacing w:val="15"/>
          <w:sz w:val="23"/>
          <w:szCs w:val="23"/>
          <w:lang w:val="fr-CA"/>
        </w:rPr>
        <w:t xml:space="preserve">    |</w:t>
      </w:r>
      <w:r w:rsidR="007F52C4" w:rsidRPr="006C2C58">
        <w:rPr>
          <w:rStyle w:val="apple-converted-space"/>
          <w:rFonts w:ascii="PT Sans Narrow" w:hAnsi="PT Sans Narrow"/>
          <w:caps/>
          <w:color w:val="A8A8A8"/>
          <w:spacing w:val="15"/>
          <w:sz w:val="23"/>
          <w:szCs w:val="23"/>
          <w:lang w:val="fr-CA"/>
        </w:rPr>
        <w:t> </w:t>
      </w:r>
      <w:r>
        <w:rPr>
          <w:rStyle w:val="apple-converted-space"/>
          <w:rFonts w:ascii="PT Sans Narrow" w:hAnsi="PT Sans Narrow"/>
          <w:caps/>
          <w:color w:val="A8A8A8"/>
          <w:spacing w:val="15"/>
          <w:sz w:val="23"/>
          <w:szCs w:val="23"/>
          <w:lang w:val="fr-CA"/>
        </w:rPr>
        <w:t xml:space="preserve">  </w:t>
      </w:r>
      <w:r w:rsidR="007F52C4" w:rsidRPr="006C2C58">
        <w:rPr>
          <w:rFonts w:ascii="PT Sans Narrow" w:hAnsi="PT Sans Narrow"/>
          <w:caps/>
          <w:color w:val="A8A8A8"/>
          <w:spacing w:val="15"/>
          <w:sz w:val="23"/>
          <w:szCs w:val="23"/>
          <w:lang w:val="fr-CA"/>
        </w:rPr>
        <w:t>PAR</w:t>
      </w:r>
      <w:r w:rsidR="007F52C4" w:rsidRPr="006C2C58">
        <w:rPr>
          <w:rStyle w:val="apple-converted-space"/>
          <w:rFonts w:ascii="PT Sans Narrow" w:hAnsi="PT Sans Narrow"/>
          <w:caps/>
          <w:color w:val="A8A8A8"/>
          <w:spacing w:val="15"/>
          <w:sz w:val="23"/>
          <w:szCs w:val="23"/>
          <w:lang w:val="fr-CA"/>
        </w:rPr>
        <w:t> </w:t>
      </w:r>
      <w:r w:rsidR="007F52C4" w:rsidRPr="006C2C58">
        <w:rPr>
          <w:rStyle w:val="entry-author"/>
          <w:rFonts w:ascii="PT Sans Narrow" w:hAnsi="PT Sans Narrow"/>
          <w:caps/>
          <w:color w:val="A8A8A8"/>
          <w:spacing w:val="15"/>
          <w:sz w:val="23"/>
          <w:szCs w:val="23"/>
          <w:lang w:val="fr-CA"/>
        </w:rPr>
        <w:t>ANOUK PERRY</w:t>
      </w:r>
      <w:r w:rsidR="007F52C4" w:rsidRPr="006C2C58">
        <w:rPr>
          <w:rStyle w:val="apple-converted-space"/>
          <w:rFonts w:ascii="PT Sans Narrow" w:hAnsi="PT Sans Narrow"/>
          <w:caps/>
          <w:color w:val="A8A8A8"/>
          <w:spacing w:val="15"/>
          <w:sz w:val="23"/>
          <w:szCs w:val="23"/>
          <w:lang w:val="fr-CA"/>
        </w:rPr>
        <w:t> </w:t>
      </w:r>
      <w:r>
        <w:rPr>
          <w:rStyle w:val="apple-converted-space"/>
          <w:rFonts w:ascii="PT Sans Narrow" w:hAnsi="PT Sans Narrow"/>
          <w:caps/>
          <w:color w:val="A8A8A8"/>
          <w:spacing w:val="15"/>
          <w:sz w:val="23"/>
          <w:szCs w:val="23"/>
          <w:lang w:val="fr-CA"/>
        </w:rPr>
        <w:t xml:space="preserve">| </w:t>
      </w:r>
      <w:r w:rsidR="006C2C58" w:rsidRPr="006C2C58">
        <w:rPr>
          <w:rStyle w:val="entry-comments-link"/>
          <w:rFonts w:ascii="PT Sans Narrow" w:hAnsi="PT Sans Narrow"/>
          <w:caps/>
          <w:color w:val="A8A8A8"/>
          <w:spacing w:val="15"/>
          <w:sz w:val="23"/>
          <w:szCs w:val="23"/>
          <w:lang w:val="fr-CA"/>
        </w:rPr>
        <w:t xml:space="preserve"> lepoint.fr</w:t>
      </w:r>
    </w:p>
    <w:p w:rsidR="007F52C4" w:rsidRDefault="00EB10C1" w:rsidP="007F52C4">
      <w:pPr>
        <w:pStyle w:val="NormalWeb"/>
        <w:shd w:val="clear" w:color="auto" w:fill="FFFFFF"/>
        <w:jc w:val="center"/>
        <w:rPr>
          <w:rFonts w:ascii="Arial" w:hAnsi="Arial" w:cs="Arial"/>
          <w:color w:val="2B2E31"/>
          <w:sz w:val="26"/>
          <w:szCs w:val="26"/>
          <w:lang w:val="fr-CA"/>
        </w:rPr>
      </w:pPr>
      <w:r>
        <w:rPr>
          <w:rFonts w:ascii="Arial" w:hAnsi="Arial" w:cs="Arial"/>
          <w:noProof/>
          <w:color w:val="2B2E31"/>
          <w:sz w:val="26"/>
          <w:szCs w:val="26"/>
        </w:rPr>
        <w:pict>
          <v:shape id="_x0000_s1033" type="#_x0000_t202" style="position:absolute;left:0;text-align:left;margin-left:-26.4pt;margin-top:73.6pt;width:66.9pt;height:54pt;z-index:251667456;mso-width-relative:margin;mso-height-relative:margin">
            <v:textbox>
              <w:txbxContent>
                <w:p w:rsidR="00D952B2" w:rsidRDefault="00D952B2" w:rsidP="00EB10C1">
                  <w:proofErr w:type="gramStart"/>
                  <w:r>
                    <w:t>photo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ou</w:t>
                  </w:r>
                  <w:proofErr w:type="spellEnd"/>
                  <w:r>
                    <w:t xml:space="preserve">  image </w:t>
                  </w:r>
                  <w:proofErr w:type="spellStart"/>
                  <w:r>
                    <w:t>visuelle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E31"/>
          <w:sz w:val="26"/>
          <w:szCs w:val="26"/>
        </w:rPr>
        <w:pict>
          <v:shape id="_x0000_s1032" type="#_x0000_t32" style="position:absolute;left:0;text-align:left;margin-left:40.5pt;margin-top:84.85pt;width:40.5pt;height:3pt;flip:y;z-index:251666432" o:connectortype="straight">
            <v:stroke endarrow="block"/>
          </v:shape>
        </w:pict>
      </w:r>
      <w:r w:rsidR="006C2C58">
        <w:rPr>
          <w:rFonts w:ascii="Arial" w:hAnsi="Arial" w:cs="Arial"/>
          <w:noProof/>
          <w:color w:val="2B2E31"/>
          <w:sz w:val="26"/>
          <w:szCs w:val="26"/>
        </w:rPr>
        <w:pict>
          <v:shape id="_x0000_s1028" type="#_x0000_t202" style="position:absolute;left:0;text-align:left;margin-left:483.55pt;margin-top:.1pt;width:45.35pt;height:17.7pt;z-index:251662336;mso-width-relative:margin;mso-height-relative:margin">
            <v:textbox>
              <w:txbxContent>
                <w:p w:rsidR="00D952B2" w:rsidRDefault="00D952B2" w:rsidP="006C2C58">
                  <w:proofErr w:type="gramStart"/>
                  <w:r>
                    <w:t>auteur</w:t>
                  </w:r>
                  <w:proofErr w:type="gramEnd"/>
                </w:p>
              </w:txbxContent>
            </v:textbox>
          </v:shape>
        </w:pict>
      </w:r>
      <w:r w:rsidR="007F52C4">
        <w:rPr>
          <w:noProof/>
        </w:rPr>
        <w:drawing>
          <wp:inline distT="0" distB="0" distL="0" distR="0">
            <wp:extent cx="4800600" cy="2517388"/>
            <wp:effectExtent l="19050" t="0" r="0" b="0"/>
            <wp:docPr id="1" name="Picture 1" descr="© meineresterampe/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© meineresterampe/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823" cy="251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2C4" w:rsidRPr="007F52C4" w:rsidRDefault="007F52C4" w:rsidP="00195E92">
      <w:pPr>
        <w:pStyle w:val="NormalWeb"/>
        <w:shd w:val="clear" w:color="auto" w:fill="FFFFFF"/>
        <w:rPr>
          <w:rFonts w:ascii="Arial" w:hAnsi="Arial" w:cs="Arial"/>
          <w:color w:val="2B2E31"/>
          <w:sz w:val="26"/>
          <w:szCs w:val="26"/>
          <w:lang w:val="fr-CA"/>
        </w:rPr>
      </w:pPr>
      <w:r w:rsidRPr="007F52C4">
        <w:rPr>
          <w:rFonts w:ascii="Arial" w:hAnsi="Arial" w:cs="Arial"/>
          <w:color w:val="2B2E31"/>
          <w:sz w:val="26"/>
          <w:szCs w:val="26"/>
          <w:lang w:val="fr-CA"/>
        </w:rPr>
        <w:t>La nouvelle</w:t>
      </w:r>
      <w:r w:rsidR="00195E92">
        <w:rPr>
          <w:rStyle w:val="FootnoteReference"/>
          <w:rFonts w:ascii="Arial" w:hAnsi="Arial" w:cs="Arial"/>
          <w:color w:val="2B2E31"/>
          <w:sz w:val="26"/>
          <w:szCs w:val="26"/>
          <w:lang w:val="fr-CA"/>
        </w:rPr>
        <w:footnoteReference w:id="4"/>
      </w:r>
      <w:r w:rsidRPr="007F52C4">
        <w:rPr>
          <w:rFonts w:ascii="Arial" w:hAnsi="Arial" w:cs="Arial"/>
          <w:color w:val="2B2E31"/>
          <w:sz w:val="26"/>
          <w:szCs w:val="26"/>
          <w:lang w:val="fr-CA"/>
        </w:rPr>
        <w:t xml:space="preserve"> est passée cet été, sans faire grand bruit : après le sac jetable, ce sera bientôt au tour de la vaisselle en plastique de disparaître des rayons</w:t>
      </w:r>
      <w:r w:rsidR="00195E92">
        <w:rPr>
          <w:rStyle w:val="FootnoteReference"/>
          <w:rFonts w:ascii="Arial" w:hAnsi="Arial" w:cs="Arial"/>
          <w:color w:val="2B2E31"/>
          <w:sz w:val="26"/>
          <w:szCs w:val="26"/>
          <w:lang w:val="fr-CA"/>
        </w:rPr>
        <w:footnoteReference w:id="5"/>
      </w:r>
      <w:r w:rsidRPr="007F52C4">
        <w:rPr>
          <w:rFonts w:ascii="Arial" w:hAnsi="Arial" w:cs="Arial"/>
          <w:color w:val="2B2E31"/>
          <w:sz w:val="26"/>
          <w:szCs w:val="26"/>
          <w:lang w:val="fr-CA"/>
        </w:rPr>
        <w:t xml:space="preserve"> ! C’est en effet ce que prévoit</w:t>
      </w:r>
      <w:r w:rsidR="00195E92">
        <w:rPr>
          <w:rStyle w:val="FootnoteReference"/>
          <w:rFonts w:ascii="Arial" w:hAnsi="Arial" w:cs="Arial"/>
          <w:color w:val="2B2E31"/>
          <w:sz w:val="26"/>
          <w:szCs w:val="26"/>
          <w:lang w:val="fr-CA"/>
        </w:rPr>
        <w:footnoteReference w:id="6"/>
      </w:r>
      <w:r w:rsidRPr="007F52C4">
        <w:rPr>
          <w:rStyle w:val="apple-converted-space"/>
          <w:rFonts w:ascii="Arial" w:hAnsi="Arial" w:cs="Arial"/>
          <w:color w:val="2B2E31"/>
          <w:sz w:val="26"/>
          <w:szCs w:val="26"/>
          <w:lang w:val="fr-CA"/>
        </w:rPr>
        <w:t> </w:t>
      </w:r>
      <w:r w:rsidRPr="00195E92">
        <w:rPr>
          <w:rFonts w:ascii="Arial" w:hAnsi="Arial" w:cs="Arial"/>
          <w:color w:val="2B2E31"/>
          <w:sz w:val="26"/>
          <w:szCs w:val="26"/>
          <w:lang w:val="fr-CA"/>
        </w:rPr>
        <w:t>la loi relative à la transition énergétique pour la croissance</w:t>
      </w:r>
      <w:r w:rsidR="00195E92">
        <w:rPr>
          <w:rStyle w:val="FootnoteReference"/>
          <w:rFonts w:ascii="Arial" w:hAnsi="Arial" w:cs="Arial"/>
          <w:color w:val="0000FF"/>
          <w:sz w:val="26"/>
          <w:szCs w:val="26"/>
          <w:lang w:val="fr-CA"/>
        </w:rPr>
        <w:footnoteReference w:id="7"/>
      </w:r>
      <w:r w:rsidRPr="00195E92">
        <w:rPr>
          <w:rFonts w:ascii="Arial" w:hAnsi="Arial" w:cs="Arial"/>
          <w:color w:val="2B2E31"/>
          <w:sz w:val="26"/>
          <w:szCs w:val="26"/>
          <w:lang w:val="fr-CA"/>
        </w:rPr>
        <w:t xml:space="preserve"> d’ici</w:t>
      </w:r>
      <w:r w:rsidR="00195E92">
        <w:rPr>
          <w:rStyle w:val="FootnoteReference"/>
          <w:rFonts w:ascii="Arial" w:hAnsi="Arial" w:cs="Arial"/>
          <w:color w:val="0000FF"/>
          <w:sz w:val="26"/>
          <w:szCs w:val="26"/>
          <w:lang w:val="fr-CA"/>
        </w:rPr>
        <w:footnoteReference w:id="8"/>
      </w:r>
      <w:r w:rsidRPr="00195E92">
        <w:rPr>
          <w:rFonts w:ascii="Arial" w:hAnsi="Arial" w:cs="Arial"/>
          <w:color w:val="2B2E31"/>
          <w:sz w:val="26"/>
          <w:szCs w:val="26"/>
          <w:lang w:val="fr-CA"/>
        </w:rPr>
        <w:t xml:space="preserve"> 2020</w:t>
      </w:r>
      <w:r w:rsidRPr="007F52C4">
        <w:rPr>
          <w:rFonts w:ascii="Arial" w:hAnsi="Arial" w:cs="Arial"/>
          <w:color w:val="2B2E31"/>
          <w:sz w:val="26"/>
          <w:szCs w:val="26"/>
          <w:lang w:val="fr-CA"/>
        </w:rPr>
        <w:t>…</w:t>
      </w:r>
    </w:p>
    <w:p w:rsidR="007F52C4" w:rsidRPr="007F52C4" w:rsidRDefault="007F52C4" w:rsidP="007F52C4">
      <w:pPr>
        <w:pStyle w:val="Heading3"/>
        <w:shd w:val="clear" w:color="auto" w:fill="FFFFFF"/>
        <w:spacing w:before="300" w:after="300" w:line="435" w:lineRule="atLeast"/>
        <w:rPr>
          <w:rFonts w:ascii="Vidaloka" w:hAnsi="Vidaloka" w:cs="Times New Roman"/>
          <w:b w:val="0"/>
          <w:bCs w:val="0"/>
          <w:color w:val="auto"/>
          <w:sz w:val="39"/>
          <w:szCs w:val="39"/>
          <w:lang w:val="fr-CA"/>
        </w:rPr>
      </w:pPr>
      <w:r w:rsidRPr="007F52C4">
        <w:rPr>
          <w:rFonts w:ascii="Vidaloka" w:hAnsi="Vidaloka"/>
          <w:b w:val="0"/>
          <w:bCs w:val="0"/>
          <w:sz w:val="39"/>
          <w:szCs w:val="39"/>
          <w:lang w:val="fr-CA"/>
        </w:rPr>
        <w:t>Quatre ans pour trouver une alternative</w:t>
      </w:r>
    </w:p>
    <w:p w:rsidR="007F52C4" w:rsidRPr="007F52C4" w:rsidRDefault="007F52C4" w:rsidP="00195E92">
      <w:pPr>
        <w:pStyle w:val="NormalWeb"/>
        <w:shd w:val="clear" w:color="auto" w:fill="FFFFFF"/>
        <w:rPr>
          <w:rFonts w:ascii="Arial" w:hAnsi="Arial" w:cs="Arial"/>
          <w:color w:val="2B2E31"/>
          <w:sz w:val="26"/>
          <w:szCs w:val="26"/>
          <w:lang w:val="fr-CA"/>
        </w:rPr>
      </w:pPr>
      <w:r w:rsidRPr="007F52C4">
        <w:rPr>
          <w:rFonts w:ascii="Arial" w:hAnsi="Arial" w:cs="Arial"/>
          <w:color w:val="2B2E31"/>
          <w:sz w:val="26"/>
          <w:szCs w:val="26"/>
          <w:lang w:val="fr-CA"/>
        </w:rPr>
        <w:t>Dans un</w:t>
      </w:r>
      <w:r w:rsidRPr="007F52C4">
        <w:rPr>
          <w:rStyle w:val="apple-converted-space"/>
          <w:rFonts w:ascii="Arial" w:hAnsi="Arial" w:cs="Arial"/>
          <w:color w:val="2B2E31"/>
          <w:sz w:val="26"/>
          <w:szCs w:val="26"/>
          <w:lang w:val="fr-CA"/>
        </w:rPr>
        <w:t> </w:t>
      </w:r>
      <w:r w:rsidRPr="00195E92">
        <w:rPr>
          <w:rFonts w:ascii="Arial" w:hAnsi="Arial" w:cs="Arial"/>
          <w:color w:val="2B2E31"/>
          <w:sz w:val="26"/>
          <w:szCs w:val="26"/>
          <w:lang w:val="fr-CA"/>
        </w:rPr>
        <w:t>décret</w:t>
      </w:r>
      <w:r w:rsidR="00195E92">
        <w:rPr>
          <w:rStyle w:val="FootnoteReference"/>
          <w:rFonts w:ascii="Arial" w:hAnsi="Arial" w:cs="Arial"/>
          <w:color w:val="2B2E31"/>
          <w:sz w:val="26"/>
          <w:szCs w:val="26"/>
          <w:lang w:val="fr-CA"/>
        </w:rPr>
        <w:footnoteReference w:id="9"/>
      </w:r>
      <w:r w:rsidRPr="00195E92">
        <w:rPr>
          <w:rFonts w:ascii="Arial" w:hAnsi="Arial" w:cs="Arial"/>
          <w:color w:val="2B2E31"/>
          <w:sz w:val="26"/>
          <w:szCs w:val="26"/>
          <w:lang w:val="fr-CA"/>
        </w:rPr>
        <w:t xml:space="preserve"> publié le 30 août</w:t>
      </w:r>
      <w:r w:rsidRPr="007F52C4">
        <w:rPr>
          <w:rFonts w:ascii="Arial" w:hAnsi="Arial" w:cs="Arial"/>
          <w:color w:val="2B2E31"/>
          <w:sz w:val="26"/>
          <w:szCs w:val="26"/>
          <w:lang w:val="fr-CA"/>
        </w:rPr>
        <w:t>, il est expliqué</w:t>
      </w:r>
      <w:r w:rsidRPr="007F52C4">
        <w:rPr>
          <w:rStyle w:val="apple-converted-space"/>
          <w:rFonts w:ascii="Arial" w:hAnsi="Arial" w:cs="Arial"/>
          <w:color w:val="2B2E31"/>
          <w:sz w:val="26"/>
          <w:szCs w:val="26"/>
          <w:lang w:val="fr-CA"/>
        </w:rPr>
        <w:t> </w:t>
      </w:r>
      <w:r w:rsidRPr="007F52C4">
        <w:rPr>
          <w:rStyle w:val="Strong"/>
          <w:rFonts w:ascii="Arial" w:eastAsiaTheme="majorEastAsia" w:hAnsi="Arial" w:cs="Arial"/>
          <w:color w:val="2B2E31"/>
          <w:sz w:val="26"/>
          <w:szCs w:val="26"/>
          <w:lang w:val="fr-CA"/>
        </w:rPr>
        <w:t>qu’à partir du 1er janvier 2020, il deviendra interdit de me</w:t>
      </w:r>
      <w:r w:rsidR="00195E92">
        <w:rPr>
          <w:rFonts w:ascii="Arial" w:eastAsiaTheme="majorEastAsia" w:hAnsi="Arial" w:cs="Arial"/>
          <w:b/>
          <w:bCs/>
          <w:color w:val="2B2E31"/>
          <w:sz w:val="26"/>
          <w:szCs w:val="26"/>
          <w:lang w:val="fr-CA"/>
        </w:rPr>
        <w:t>t</w:t>
      </w:r>
      <w:r w:rsidRPr="007F52C4">
        <w:rPr>
          <w:rStyle w:val="Strong"/>
          <w:rFonts w:ascii="Arial" w:eastAsiaTheme="majorEastAsia" w:hAnsi="Arial" w:cs="Arial"/>
          <w:color w:val="2B2E31"/>
          <w:sz w:val="26"/>
          <w:szCs w:val="26"/>
          <w:lang w:val="fr-CA"/>
        </w:rPr>
        <w:t>tre à disposition</w:t>
      </w:r>
      <w:r w:rsidR="00195E92">
        <w:rPr>
          <w:rStyle w:val="FootnoteReference"/>
          <w:rFonts w:ascii="Arial" w:eastAsiaTheme="majorEastAsia" w:hAnsi="Arial" w:cs="Arial"/>
          <w:b/>
          <w:bCs/>
          <w:color w:val="2B2E31"/>
          <w:sz w:val="26"/>
          <w:szCs w:val="26"/>
          <w:lang w:val="fr-CA"/>
        </w:rPr>
        <w:footnoteReference w:id="10"/>
      </w:r>
      <w:r w:rsidRPr="007F52C4">
        <w:rPr>
          <w:rStyle w:val="Strong"/>
          <w:rFonts w:ascii="Arial" w:eastAsiaTheme="majorEastAsia" w:hAnsi="Arial" w:cs="Arial"/>
          <w:color w:val="2B2E31"/>
          <w:sz w:val="26"/>
          <w:szCs w:val="26"/>
          <w:lang w:val="fr-CA"/>
        </w:rPr>
        <w:t xml:space="preserve"> des gobelets</w:t>
      </w:r>
      <w:r w:rsidR="00195E92">
        <w:rPr>
          <w:rStyle w:val="FootnoteReference"/>
          <w:rFonts w:ascii="Arial" w:eastAsiaTheme="majorEastAsia" w:hAnsi="Arial" w:cs="Arial"/>
          <w:b/>
          <w:bCs/>
          <w:color w:val="2B2E31"/>
          <w:sz w:val="26"/>
          <w:szCs w:val="26"/>
          <w:lang w:val="fr-CA"/>
        </w:rPr>
        <w:footnoteReference w:id="11"/>
      </w:r>
      <w:r w:rsidRPr="007F52C4">
        <w:rPr>
          <w:rStyle w:val="Strong"/>
          <w:rFonts w:ascii="Arial" w:eastAsiaTheme="majorEastAsia" w:hAnsi="Arial" w:cs="Arial"/>
          <w:color w:val="2B2E31"/>
          <w:sz w:val="26"/>
          <w:szCs w:val="26"/>
          <w:lang w:val="fr-CA"/>
        </w:rPr>
        <w:t>, verres et assiettes jetables en matière plastique</w:t>
      </w:r>
      <w:r w:rsidRPr="007F52C4">
        <w:rPr>
          <w:rFonts w:ascii="Arial" w:hAnsi="Arial" w:cs="Arial"/>
          <w:color w:val="2B2E31"/>
          <w:sz w:val="26"/>
          <w:szCs w:val="26"/>
          <w:lang w:val="fr-CA"/>
        </w:rPr>
        <w:t>.</w:t>
      </w:r>
    </w:p>
    <w:p w:rsidR="007F52C4" w:rsidRPr="007F52C4" w:rsidRDefault="00D13923" w:rsidP="007F52C4">
      <w:pPr>
        <w:pStyle w:val="NormalWeb"/>
        <w:shd w:val="clear" w:color="auto" w:fill="FFFFFF"/>
        <w:rPr>
          <w:rFonts w:ascii="Arial" w:hAnsi="Arial" w:cs="Arial"/>
          <w:color w:val="2B2E31"/>
          <w:sz w:val="26"/>
          <w:szCs w:val="26"/>
          <w:lang w:val="fr-CA"/>
        </w:rPr>
      </w:pPr>
      <w:r>
        <w:rPr>
          <w:rFonts w:ascii="Arial" w:hAnsi="Arial" w:cs="Arial"/>
          <w:noProof/>
          <w:color w:val="2B2E31"/>
          <w:sz w:val="26"/>
          <w:szCs w:val="26"/>
        </w:rPr>
        <w:pict>
          <v:shape id="_x0000_s1037" type="#_x0000_t32" style="position:absolute;margin-left:163.5pt;margin-top:101.75pt;width:210pt;height:24pt;flip:x;z-index:251671552" o:connectortype="straight">
            <v:stroke endarrow="block"/>
          </v:shape>
        </w:pict>
      </w:r>
      <w:r>
        <w:rPr>
          <w:rFonts w:ascii="Arial" w:hAnsi="Arial" w:cs="Arial"/>
          <w:noProof/>
          <w:color w:val="2B2E31"/>
          <w:sz w:val="26"/>
          <w:szCs w:val="26"/>
        </w:rPr>
        <w:pict>
          <v:shape id="_x0000_s1036" type="#_x0000_t202" style="position:absolute;margin-left:377.85pt;margin-top:71.75pt;width:59.4pt;height:54pt;z-index:251670528;mso-width-relative:margin;mso-height-relative:margin">
            <v:textbox>
              <w:txbxContent>
                <w:p w:rsidR="00D952B2" w:rsidRPr="00D13923" w:rsidRDefault="00D952B2" w:rsidP="00D13923">
                  <w:pPr>
                    <w:rPr>
                      <w:lang w:val="fr-CA"/>
                    </w:rPr>
                  </w:pPr>
                  <w:r w:rsidRPr="00D13923">
                    <w:rPr>
                      <w:lang w:val="fr-CA"/>
                    </w:rPr>
                    <w:t>“</w:t>
                  </w:r>
                  <w:proofErr w:type="gramStart"/>
                  <w:r w:rsidRPr="00D13923">
                    <w:rPr>
                      <w:lang w:val="fr-CA"/>
                    </w:rPr>
                    <w:t>notes</w:t>
                  </w:r>
                  <w:proofErr w:type="gramEnd"/>
                  <w:r w:rsidRPr="00D13923">
                    <w:rPr>
                      <w:lang w:val="fr-CA"/>
                    </w:rPr>
                    <w:t xml:space="preserve"> de bas de page”</w:t>
                  </w:r>
                </w:p>
              </w:txbxContent>
            </v:textbox>
          </v:shape>
        </w:pict>
      </w:r>
      <w:r w:rsidR="007F52C4" w:rsidRPr="007F52C4">
        <w:rPr>
          <w:rFonts w:ascii="Arial" w:hAnsi="Arial" w:cs="Arial"/>
          <w:color w:val="2B2E31"/>
          <w:sz w:val="26"/>
          <w:szCs w:val="26"/>
          <w:lang w:val="fr-CA"/>
        </w:rPr>
        <w:t xml:space="preserve">Une exception est faite pour la vaisselle constituée de matières </w:t>
      </w:r>
      <w:proofErr w:type="spellStart"/>
      <w:r w:rsidR="007F52C4" w:rsidRPr="007F52C4">
        <w:rPr>
          <w:rFonts w:ascii="Arial" w:hAnsi="Arial" w:cs="Arial"/>
          <w:color w:val="2B2E31"/>
          <w:sz w:val="26"/>
          <w:szCs w:val="26"/>
          <w:lang w:val="fr-CA"/>
        </w:rPr>
        <w:t>biosourcées</w:t>
      </w:r>
      <w:proofErr w:type="spellEnd"/>
      <w:r w:rsidR="007F52C4" w:rsidRPr="007F52C4">
        <w:rPr>
          <w:rFonts w:ascii="Arial" w:hAnsi="Arial" w:cs="Arial"/>
          <w:color w:val="2B2E31"/>
          <w:sz w:val="26"/>
          <w:szCs w:val="26"/>
          <w:lang w:val="fr-CA"/>
        </w:rPr>
        <w:t>, c’est-à-dire d’origine biologique</w:t>
      </w:r>
      <w:r w:rsidR="00195E92">
        <w:rPr>
          <w:rStyle w:val="FootnoteReference"/>
          <w:rFonts w:ascii="Arial" w:hAnsi="Arial" w:cs="Arial"/>
          <w:color w:val="2B2E31"/>
          <w:sz w:val="26"/>
          <w:szCs w:val="26"/>
          <w:lang w:val="fr-CA"/>
        </w:rPr>
        <w:footnoteReference w:id="12"/>
      </w:r>
      <w:r w:rsidR="007F52C4" w:rsidRPr="007F52C4">
        <w:rPr>
          <w:rFonts w:ascii="Arial" w:hAnsi="Arial" w:cs="Arial"/>
          <w:color w:val="2B2E31"/>
          <w:sz w:val="26"/>
          <w:szCs w:val="26"/>
          <w:lang w:val="fr-CA"/>
        </w:rPr>
        <w:t>… Et encore, elle devra alors être constituée à 50% de ces matières en 2020, et à partir de 60% en 2025.</w:t>
      </w:r>
    </w:p>
    <w:p w:rsidR="007F52C4" w:rsidRPr="007F52C4" w:rsidRDefault="007F52C4" w:rsidP="007F52C4">
      <w:pPr>
        <w:pStyle w:val="NormalWeb"/>
        <w:shd w:val="clear" w:color="auto" w:fill="FFFFFF"/>
        <w:rPr>
          <w:rFonts w:ascii="Arial" w:hAnsi="Arial" w:cs="Arial"/>
          <w:color w:val="2B2E31"/>
          <w:sz w:val="26"/>
          <w:szCs w:val="26"/>
          <w:lang w:val="fr-CA"/>
        </w:rPr>
      </w:pPr>
      <w:r w:rsidRPr="007F52C4">
        <w:rPr>
          <w:rFonts w:ascii="Arial" w:hAnsi="Arial" w:cs="Arial"/>
          <w:color w:val="2B2E31"/>
          <w:sz w:val="26"/>
          <w:szCs w:val="26"/>
          <w:lang w:val="fr-CA"/>
        </w:rPr>
        <w:lastRenderedPageBreak/>
        <w:t>Concrètement, cela veut dire qu</w:t>
      </w:r>
      <w:r w:rsidRPr="007F52C4">
        <w:rPr>
          <w:rStyle w:val="Strong"/>
          <w:rFonts w:ascii="Arial" w:eastAsiaTheme="majorEastAsia" w:hAnsi="Arial" w:cs="Arial"/>
          <w:color w:val="2B2E31"/>
          <w:sz w:val="26"/>
          <w:szCs w:val="26"/>
          <w:lang w:val="fr-CA"/>
        </w:rPr>
        <w:t>’il reste quatre ans aux industriels</w:t>
      </w:r>
      <w:r w:rsidR="00BC3853">
        <w:rPr>
          <w:rStyle w:val="FootnoteReference"/>
          <w:rFonts w:ascii="Arial" w:eastAsiaTheme="majorEastAsia" w:hAnsi="Arial" w:cs="Arial"/>
          <w:b/>
          <w:bCs/>
          <w:color w:val="2B2E31"/>
          <w:sz w:val="26"/>
          <w:szCs w:val="26"/>
          <w:lang w:val="fr-CA"/>
        </w:rPr>
        <w:footnoteReference w:id="13"/>
      </w:r>
      <w:r w:rsidRPr="007F52C4">
        <w:rPr>
          <w:rStyle w:val="Strong"/>
          <w:rFonts w:ascii="Arial" w:eastAsiaTheme="majorEastAsia" w:hAnsi="Arial" w:cs="Arial"/>
          <w:color w:val="2B2E31"/>
          <w:sz w:val="26"/>
          <w:szCs w:val="26"/>
          <w:lang w:val="fr-CA"/>
        </w:rPr>
        <w:t xml:space="preserve"> pour trouver une alternative</w:t>
      </w:r>
      <w:r w:rsidRPr="007F52C4">
        <w:rPr>
          <w:rFonts w:ascii="Arial" w:hAnsi="Arial" w:cs="Arial"/>
          <w:color w:val="2B2E31"/>
          <w:sz w:val="26"/>
          <w:szCs w:val="26"/>
          <w:lang w:val="fr-CA"/>
        </w:rPr>
        <w:t>. Et, pour nous, quatre ans afin de trouver un remplacement efficace. Pas besoin de chercher loin : les assiettes en carton marchent très bien pour les apéros</w:t>
      </w:r>
      <w:r w:rsidR="00BC3853">
        <w:rPr>
          <w:rStyle w:val="FootnoteReference"/>
          <w:rFonts w:ascii="Arial" w:hAnsi="Arial" w:cs="Arial"/>
          <w:color w:val="2B2E31"/>
          <w:sz w:val="26"/>
          <w:szCs w:val="26"/>
          <w:lang w:val="fr-CA"/>
        </w:rPr>
        <w:footnoteReference w:id="14"/>
      </w:r>
      <w:r w:rsidRPr="007F52C4">
        <w:rPr>
          <w:rFonts w:ascii="Arial" w:hAnsi="Arial" w:cs="Arial"/>
          <w:color w:val="2B2E31"/>
          <w:sz w:val="26"/>
          <w:szCs w:val="26"/>
          <w:lang w:val="fr-CA"/>
        </w:rPr>
        <w:t>.</w:t>
      </w:r>
    </w:p>
    <w:p w:rsidR="007F52C4" w:rsidRPr="007F52C4" w:rsidRDefault="007F52C4" w:rsidP="007F52C4">
      <w:pPr>
        <w:pStyle w:val="Heading3"/>
        <w:shd w:val="clear" w:color="auto" w:fill="FFFFFF"/>
        <w:spacing w:before="300" w:after="300" w:line="435" w:lineRule="atLeast"/>
        <w:rPr>
          <w:rFonts w:ascii="Vidaloka" w:hAnsi="Vidaloka"/>
          <w:b w:val="0"/>
          <w:bCs w:val="0"/>
          <w:sz w:val="39"/>
          <w:szCs w:val="39"/>
          <w:lang w:val="fr-CA"/>
        </w:rPr>
      </w:pPr>
      <w:r w:rsidRPr="007F52C4">
        <w:rPr>
          <w:rFonts w:ascii="Vidaloka" w:hAnsi="Vidaloka"/>
          <w:b w:val="0"/>
          <w:bCs w:val="0"/>
          <w:sz w:val="39"/>
          <w:szCs w:val="39"/>
          <w:lang w:val="fr-CA"/>
        </w:rPr>
        <w:t>Le gobelet en plastique, un déchet qui ne disparaît pas</w:t>
      </w:r>
    </w:p>
    <w:p w:rsidR="007F52C4" w:rsidRPr="007F52C4" w:rsidRDefault="007F52C4" w:rsidP="007F52C4">
      <w:pPr>
        <w:pStyle w:val="NormalWeb"/>
        <w:shd w:val="clear" w:color="auto" w:fill="FFFFFF"/>
        <w:rPr>
          <w:rFonts w:ascii="Arial" w:hAnsi="Arial" w:cs="Arial"/>
          <w:color w:val="2B2E31"/>
          <w:sz w:val="26"/>
          <w:szCs w:val="26"/>
          <w:lang w:val="fr-CA"/>
        </w:rPr>
      </w:pPr>
      <w:r w:rsidRPr="007F52C4">
        <w:rPr>
          <w:rFonts w:ascii="Arial" w:hAnsi="Arial" w:cs="Arial"/>
          <w:color w:val="2B2E31"/>
          <w:sz w:val="26"/>
          <w:szCs w:val="26"/>
          <w:lang w:val="fr-CA"/>
        </w:rPr>
        <w:t>En juin dernier,</w:t>
      </w:r>
      <w:r w:rsidRPr="007F52C4">
        <w:rPr>
          <w:rStyle w:val="apple-converted-space"/>
          <w:rFonts w:ascii="Arial" w:hAnsi="Arial" w:cs="Arial"/>
          <w:color w:val="2B2E31"/>
          <w:sz w:val="26"/>
          <w:szCs w:val="26"/>
          <w:lang w:val="fr-CA"/>
        </w:rPr>
        <w:t> </w:t>
      </w:r>
      <w:hyperlink r:id="rId8" w:tgtFrame="_blank" w:history="1">
        <w:r w:rsidRPr="007F52C4">
          <w:rPr>
            <w:rStyle w:val="Hyperlink"/>
            <w:rFonts w:ascii="Arial" w:hAnsi="Arial" w:cs="Arial"/>
            <w:i/>
            <w:iCs/>
            <w:sz w:val="26"/>
            <w:szCs w:val="26"/>
            <w:lang w:val="fr-CA"/>
          </w:rPr>
          <w:t>L</w:t>
        </w:r>
      </w:hyperlink>
      <w:hyperlink r:id="rId9" w:tgtFrame="_blank" w:history="1">
        <w:r w:rsidRPr="007F52C4">
          <w:rPr>
            <w:rStyle w:val="Hyperlink"/>
            <w:rFonts w:ascii="Arial" w:hAnsi="Arial" w:cs="Arial"/>
            <w:i/>
            <w:iCs/>
            <w:sz w:val="26"/>
            <w:szCs w:val="26"/>
            <w:lang w:val="fr-CA"/>
          </w:rPr>
          <w:t>e Parisien</w:t>
        </w:r>
      </w:hyperlink>
      <w:r w:rsidRPr="007F52C4">
        <w:rPr>
          <w:rStyle w:val="apple-converted-space"/>
          <w:rFonts w:ascii="Arial" w:hAnsi="Arial" w:cs="Arial"/>
          <w:i/>
          <w:iCs/>
          <w:color w:val="2B2E31"/>
          <w:sz w:val="26"/>
          <w:szCs w:val="26"/>
          <w:lang w:val="fr-CA"/>
        </w:rPr>
        <w:t> </w:t>
      </w:r>
      <w:r w:rsidRPr="007F52C4">
        <w:rPr>
          <w:rFonts w:ascii="Arial" w:hAnsi="Arial" w:cs="Arial"/>
          <w:color w:val="2B2E31"/>
          <w:sz w:val="26"/>
          <w:szCs w:val="26"/>
          <w:lang w:val="fr-CA"/>
        </w:rPr>
        <w:t>titrait :</w:t>
      </w:r>
      <w:r w:rsidRPr="007F52C4">
        <w:rPr>
          <w:rStyle w:val="apple-converted-space"/>
          <w:rFonts w:ascii="Arial" w:hAnsi="Arial" w:cs="Arial"/>
          <w:color w:val="2B2E31"/>
          <w:sz w:val="26"/>
          <w:szCs w:val="26"/>
          <w:lang w:val="fr-CA"/>
        </w:rPr>
        <w:t> </w:t>
      </w:r>
      <w:r w:rsidRPr="007F52C4">
        <w:rPr>
          <w:rStyle w:val="Strong"/>
          <w:rFonts w:ascii="Arial" w:hAnsi="Arial" w:cs="Arial"/>
          <w:i/>
          <w:iCs/>
          <w:color w:val="2B2E31"/>
          <w:sz w:val="26"/>
          <w:szCs w:val="26"/>
          <w:lang w:val="fr-CA"/>
        </w:rPr>
        <w:t>Le gobelet en plastique est un poison pour la planète</w:t>
      </w:r>
      <w:r w:rsidRPr="007F52C4">
        <w:rPr>
          <w:rFonts w:ascii="Arial" w:hAnsi="Arial" w:cs="Arial"/>
          <w:color w:val="2B2E31"/>
          <w:sz w:val="26"/>
          <w:szCs w:val="26"/>
          <w:lang w:val="fr-CA"/>
        </w:rPr>
        <w:t>. Il faut dire que 150 gobelets sont jetés chaque seconde en France, soit 4,73 milliards par an. Or</w:t>
      </w:r>
      <w:r w:rsidR="00BC3853">
        <w:rPr>
          <w:rStyle w:val="FootnoteReference"/>
          <w:rFonts w:ascii="Arial" w:hAnsi="Arial" w:cs="Arial"/>
          <w:color w:val="2B2E31"/>
          <w:sz w:val="26"/>
          <w:szCs w:val="26"/>
          <w:lang w:val="fr-CA"/>
        </w:rPr>
        <w:footnoteReference w:id="15"/>
      </w:r>
      <w:r w:rsidRPr="007F52C4">
        <w:rPr>
          <w:rFonts w:ascii="Arial" w:hAnsi="Arial" w:cs="Arial"/>
          <w:color w:val="2B2E31"/>
          <w:sz w:val="26"/>
          <w:szCs w:val="26"/>
          <w:lang w:val="fr-CA"/>
        </w:rPr>
        <w:t xml:space="preserve"> seul 1% de cette somme astronomique de déchets est recyclé. L’article en question précise :</w:t>
      </w:r>
    </w:p>
    <w:p w:rsidR="007F52C4" w:rsidRPr="007F52C4" w:rsidRDefault="007F52C4" w:rsidP="007F52C4">
      <w:pPr>
        <w:pStyle w:val="NormalWeb"/>
        <w:shd w:val="clear" w:color="auto" w:fill="FFFFFF"/>
        <w:rPr>
          <w:rFonts w:ascii="Georgia" w:hAnsi="Georgia"/>
          <w:i/>
          <w:iCs/>
          <w:color w:val="333333"/>
          <w:sz w:val="26"/>
          <w:szCs w:val="26"/>
          <w:lang w:val="fr-CA"/>
        </w:rPr>
      </w:pPr>
      <w:r w:rsidRPr="007F52C4">
        <w:rPr>
          <w:rFonts w:ascii="Georgia" w:hAnsi="Georgia"/>
          <w:i/>
          <w:iCs/>
          <w:color w:val="333333"/>
          <w:sz w:val="26"/>
          <w:szCs w:val="26"/>
          <w:lang w:val="fr-CA"/>
        </w:rPr>
        <w:t>« Conséquence :</w:t>
      </w:r>
      <w:r w:rsidRPr="007F52C4">
        <w:rPr>
          <w:rStyle w:val="apple-converted-space"/>
          <w:rFonts w:ascii="Georgia" w:hAnsi="Georgia"/>
          <w:i/>
          <w:iCs/>
          <w:color w:val="333333"/>
          <w:sz w:val="26"/>
          <w:szCs w:val="26"/>
          <w:lang w:val="fr-CA"/>
        </w:rPr>
        <w:t> </w:t>
      </w:r>
      <w:r w:rsidRPr="007F52C4">
        <w:rPr>
          <w:rStyle w:val="Strong"/>
          <w:rFonts w:ascii="Georgia" w:hAnsi="Georgia"/>
          <w:i/>
          <w:iCs/>
          <w:color w:val="333333"/>
          <w:sz w:val="26"/>
          <w:szCs w:val="26"/>
          <w:lang w:val="fr-CA"/>
        </w:rPr>
        <w:t>1,6 milliard de gobelets sont incinérés chaque année</w:t>
      </w:r>
      <w:r w:rsidRPr="007F52C4">
        <w:rPr>
          <w:rFonts w:ascii="Georgia" w:hAnsi="Georgia"/>
          <w:i/>
          <w:iCs/>
          <w:color w:val="333333"/>
          <w:sz w:val="26"/>
          <w:szCs w:val="26"/>
          <w:lang w:val="fr-CA"/>
        </w:rPr>
        <w:t>, tandis que 2,4 milliards seront enfouis</w:t>
      </w:r>
      <w:r w:rsidR="00BC3853">
        <w:rPr>
          <w:rStyle w:val="FootnoteReference"/>
          <w:rFonts w:ascii="Georgia" w:hAnsi="Georgia"/>
          <w:i/>
          <w:iCs/>
          <w:color w:val="333333"/>
          <w:sz w:val="26"/>
          <w:szCs w:val="26"/>
          <w:lang w:val="fr-CA"/>
        </w:rPr>
        <w:footnoteReference w:id="16"/>
      </w:r>
      <w:r w:rsidRPr="007F52C4">
        <w:rPr>
          <w:rFonts w:ascii="Georgia" w:hAnsi="Georgia"/>
          <w:i/>
          <w:iCs/>
          <w:color w:val="333333"/>
          <w:sz w:val="26"/>
          <w:szCs w:val="26"/>
          <w:lang w:val="fr-CA"/>
        </w:rPr>
        <w:t xml:space="preserve"> dans des décharges</w:t>
      </w:r>
      <w:r w:rsidR="00BC3853">
        <w:rPr>
          <w:rStyle w:val="FootnoteReference"/>
          <w:rFonts w:ascii="Georgia" w:hAnsi="Georgia"/>
          <w:i/>
          <w:iCs/>
          <w:color w:val="333333"/>
          <w:sz w:val="26"/>
          <w:szCs w:val="26"/>
          <w:lang w:val="fr-CA"/>
        </w:rPr>
        <w:footnoteReference w:id="17"/>
      </w:r>
      <w:r w:rsidRPr="007F52C4">
        <w:rPr>
          <w:rFonts w:ascii="Georgia" w:hAnsi="Georgia"/>
          <w:i/>
          <w:iCs/>
          <w:color w:val="333333"/>
          <w:sz w:val="26"/>
          <w:szCs w:val="26"/>
          <w:lang w:val="fr-CA"/>
        </w:rPr>
        <w:t>… où ils mettront plusieurs centaines d’années à se dégrader. Et on ne vous parle même pas de ceux qui se retrouvent ballottés</w:t>
      </w:r>
      <w:r w:rsidR="00BC3853">
        <w:rPr>
          <w:rStyle w:val="FootnoteReference"/>
          <w:rFonts w:ascii="Georgia" w:hAnsi="Georgia"/>
          <w:i/>
          <w:iCs/>
          <w:color w:val="333333"/>
          <w:sz w:val="26"/>
          <w:szCs w:val="26"/>
          <w:lang w:val="fr-CA"/>
        </w:rPr>
        <w:footnoteReference w:id="18"/>
      </w:r>
      <w:r w:rsidRPr="007F52C4">
        <w:rPr>
          <w:rFonts w:ascii="Georgia" w:hAnsi="Georgia"/>
          <w:i/>
          <w:iCs/>
          <w:color w:val="333333"/>
          <w:sz w:val="26"/>
          <w:szCs w:val="26"/>
          <w:lang w:val="fr-CA"/>
        </w:rPr>
        <w:t xml:space="preserve"> par le vent, abandonnés sur un trottoir après une pause-déjeuner sandwich-soda. »</w:t>
      </w:r>
    </w:p>
    <w:p w:rsidR="007F52C4" w:rsidRPr="007F52C4" w:rsidRDefault="007F52C4" w:rsidP="007F52C4">
      <w:pPr>
        <w:pStyle w:val="NormalWeb"/>
        <w:shd w:val="clear" w:color="auto" w:fill="FFFFFF"/>
        <w:rPr>
          <w:rFonts w:ascii="Arial" w:hAnsi="Arial" w:cs="Arial"/>
          <w:color w:val="2B2E31"/>
          <w:sz w:val="26"/>
          <w:szCs w:val="26"/>
          <w:lang w:val="fr-CA"/>
        </w:rPr>
      </w:pPr>
      <w:r w:rsidRPr="007F52C4">
        <w:rPr>
          <w:rFonts w:ascii="Arial" w:hAnsi="Arial" w:cs="Arial"/>
          <w:color w:val="2B2E31"/>
          <w:sz w:val="26"/>
          <w:szCs w:val="26"/>
          <w:lang w:val="fr-CA"/>
        </w:rPr>
        <w:t>Aujourd’hui, je considère ce changement comme une bonne nouvelle. C’est également une fierté. Avec ce décret,</w:t>
      </w:r>
      <w:r w:rsidRPr="007F52C4">
        <w:rPr>
          <w:rStyle w:val="apple-converted-space"/>
          <w:rFonts w:ascii="Arial" w:hAnsi="Arial" w:cs="Arial"/>
          <w:color w:val="2B2E31"/>
          <w:sz w:val="26"/>
          <w:szCs w:val="26"/>
          <w:lang w:val="fr-CA"/>
        </w:rPr>
        <w:t> </w:t>
      </w:r>
      <w:r w:rsidRPr="007F52C4">
        <w:rPr>
          <w:rStyle w:val="Strong"/>
          <w:rFonts w:ascii="Arial" w:hAnsi="Arial" w:cs="Arial"/>
          <w:color w:val="2B2E31"/>
          <w:sz w:val="26"/>
          <w:szCs w:val="26"/>
          <w:lang w:val="fr-CA"/>
        </w:rPr>
        <w:t>la France devient</w:t>
      </w:r>
      <w:r w:rsidRPr="007F52C4">
        <w:rPr>
          <w:rStyle w:val="apple-converted-space"/>
          <w:rFonts w:ascii="Arial" w:hAnsi="Arial" w:cs="Arial"/>
          <w:b/>
          <w:bCs/>
          <w:color w:val="2B2E31"/>
          <w:sz w:val="26"/>
          <w:szCs w:val="26"/>
          <w:lang w:val="fr-CA"/>
        </w:rPr>
        <w:t> </w:t>
      </w:r>
      <w:hyperlink r:id="rId10" w:tgtFrame="_blank" w:history="1">
        <w:r w:rsidRPr="007F52C4">
          <w:rPr>
            <w:rStyle w:val="Hyperlink"/>
            <w:rFonts w:ascii="Arial" w:hAnsi="Arial" w:cs="Arial"/>
            <w:b/>
            <w:bCs/>
            <w:sz w:val="26"/>
            <w:szCs w:val="26"/>
            <w:lang w:val="fr-CA"/>
          </w:rPr>
          <w:t>le premier pays</w:t>
        </w:r>
      </w:hyperlink>
      <w:r w:rsidRPr="007F52C4">
        <w:rPr>
          <w:rStyle w:val="apple-converted-space"/>
          <w:rFonts w:ascii="Arial" w:hAnsi="Arial" w:cs="Arial"/>
          <w:b/>
          <w:bCs/>
          <w:color w:val="2B2E31"/>
          <w:sz w:val="26"/>
          <w:szCs w:val="26"/>
          <w:lang w:val="fr-CA"/>
        </w:rPr>
        <w:t> </w:t>
      </w:r>
      <w:r w:rsidRPr="007F52C4">
        <w:rPr>
          <w:rStyle w:val="Strong"/>
          <w:rFonts w:ascii="Arial" w:hAnsi="Arial" w:cs="Arial"/>
          <w:color w:val="2B2E31"/>
          <w:sz w:val="26"/>
          <w:szCs w:val="26"/>
          <w:lang w:val="fr-CA"/>
        </w:rPr>
        <w:t>au monde à envisager sérieusement la fin de l’utilisation de la vaisselle en plastique jetable. </w:t>
      </w:r>
    </w:p>
    <w:p w:rsidR="007443D3" w:rsidRPr="007F52C4" w:rsidRDefault="00B0353D" w:rsidP="007F52C4">
      <w:pPr>
        <w:rPr>
          <w:lang w:val="fr-CA"/>
        </w:rPr>
      </w:pPr>
      <w:r w:rsidRPr="00B0353D">
        <w:rPr>
          <w:noProof/>
          <w:lang w:val="fr-CA" w:eastAsia="zh-TW"/>
        </w:rPr>
        <w:pict>
          <v:shape id="_x0000_s1038" type="#_x0000_t202" style="position:absolute;margin-left:245.8pt;margin-top:385.5pt;width:147.35pt;height:22.85pt;z-index:251673600;mso-width-relative:margin;mso-height-relative:margin">
            <v:textbox>
              <w:txbxContent>
                <w:p w:rsidR="00B0353D" w:rsidRDefault="00B0353D">
                  <w:proofErr w:type="spellStart"/>
                  <w:proofErr w:type="gramStart"/>
                  <w:r>
                    <w:t>longueur</w:t>
                  </w:r>
                  <w:proofErr w:type="spellEnd"/>
                  <w:proofErr w:type="gramEnd"/>
                  <w:r>
                    <w:t xml:space="preserve"> = </w:t>
                  </w:r>
                  <w:proofErr w:type="spellStart"/>
                  <w:r>
                    <w:t>moins</w:t>
                  </w:r>
                  <w:proofErr w:type="spellEnd"/>
                  <w:r>
                    <w:t xml:space="preserve"> de 2 pages</w:t>
                  </w:r>
                </w:p>
              </w:txbxContent>
            </v:textbox>
          </v:shape>
        </w:pict>
      </w:r>
    </w:p>
    <w:sectPr w:rsidR="007443D3" w:rsidRPr="007F52C4" w:rsidSect="00195E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B2" w:rsidRDefault="00D952B2" w:rsidP="00195E92">
      <w:pPr>
        <w:spacing w:after="0" w:line="240" w:lineRule="auto"/>
      </w:pPr>
      <w:r>
        <w:separator/>
      </w:r>
    </w:p>
  </w:endnote>
  <w:endnote w:type="continuationSeparator" w:id="0">
    <w:p w:rsidR="00D952B2" w:rsidRDefault="00D952B2" w:rsidP="0019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dalo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B2" w:rsidRDefault="00D952B2" w:rsidP="00195E92">
      <w:pPr>
        <w:spacing w:after="0" w:line="240" w:lineRule="auto"/>
      </w:pPr>
      <w:r>
        <w:separator/>
      </w:r>
    </w:p>
  </w:footnote>
  <w:footnote w:type="continuationSeparator" w:id="0">
    <w:p w:rsidR="00D952B2" w:rsidRDefault="00D952B2" w:rsidP="00195E92">
      <w:pPr>
        <w:spacing w:after="0" w:line="240" w:lineRule="auto"/>
      </w:pPr>
      <w:r>
        <w:continuationSeparator/>
      </w:r>
    </w:p>
  </w:footnote>
  <w:footnote w:id="1">
    <w:p w:rsidR="00D952B2" w:rsidRPr="00195E92" w:rsidRDefault="00D952B2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195E92">
        <w:rPr>
          <w:lang w:val="fr-CA"/>
        </w:rPr>
        <w:t xml:space="preserve"> </w:t>
      </w:r>
      <w:proofErr w:type="gramStart"/>
      <w:r w:rsidRPr="00195E92">
        <w:rPr>
          <w:lang w:val="fr-CA"/>
        </w:rPr>
        <w:t>la</w:t>
      </w:r>
      <w:proofErr w:type="gramEnd"/>
      <w:r w:rsidRPr="00195E92">
        <w:rPr>
          <w:lang w:val="fr-CA"/>
        </w:rPr>
        <w:t xml:space="preserve"> vaisselle = </w:t>
      </w:r>
    </w:p>
  </w:footnote>
  <w:footnote w:id="2">
    <w:p w:rsidR="00D952B2" w:rsidRPr="00195E92" w:rsidRDefault="00D952B2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195E92">
        <w:rPr>
          <w:lang w:val="fr-CA"/>
        </w:rPr>
        <w:t xml:space="preserve"> </w:t>
      </w:r>
      <w:proofErr w:type="gramStart"/>
      <w:r w:rsidRPr="00195E92">
        <w:rPr>
          <w:lang w:val="fr-CA"/>
        </w:rPr>
        <w:t>jetable</w:t>
      </w:r>
      <w:proofErr w:type="gramEnd"/>
      <w:r w:rsidRPr="00195E92">
        <w:rPr>
          <w:lang w:val="fr-CA"/>
        </w:rPr>
        <w:t xml:space="preserve"> = </w:t>
      </w:r>
    </w:p>
  </w:footnote>
  <w:footnote w:id="3">
    <w:p w:rsidR="00D952B2" w:rsidRPr="00195E92" w:rsidRDefault="00D952B2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195E92">
        <w:rPr>
          <w:lang w:val="fr-CA"/>
        </w:rPr>
        <w:t xml:space="preserve"> interdit(e) = </w:t>
      </w:r>
    </w:p>
  </w:footnote>
  <w:footnote w:id="4">
    <w:p w:rsidR="00D952B2" w:rsidRDefault="00D952B2">
      <w:pPr>
        <w:pStyle w:val="FootnoteText"/>
      </w:pPr>
      <w:r>
        <w:rPr>
          <w:rStyle w:val="FootnoteReference"/>
        </w:rPr>
        <w:footnoteRef/>
      </w:r>
      <w:r>
        <w:t xml:space="preserve"> nouvelle = news</w:t>
      </w:r>
    </w:p>
  </w:footnote>
  <w:footnote w:id="5">
    <w:p w:rsidR="00D952B2" w:rsidRDefault="00D952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rayons</w:t>
      </w:r>
      <w:proofErr w:type="spellEnd"/>
      <w:r>
        <w:t xml:space="preserve"> = grocery store aisles</w:t>
      </w:r>
    </w:p>
  </w:footnote>
  <w:footnote w:id="6">
    <w:p w:rsidR="00D952B2" w:rsidRPr="00195E92" w:rsidRDefault="00D952B2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="00B0353D">
        <w:rPr>
          <w:lang w:val="fr-CA"/>
        </w:rPr>
        <w:t xml:space="preserve"> </w:t>
      </w:r>
      <w:proofErr w:type="spellStart"/>
      <w:proofErr w:type="gramStart"/>
      <w:r w:rsidR="00B0353D">
        <w:rPr>
          <w:lang w:val="fr-CA"/>
        </w:rPr>
        <w:t>pr</w:t>
      </w:r>
      <w:proofErr w:type="spellEnd"/>
      <w:r w:rsidR="00B0353D">
        <w:rPr>
          <w:rFonts w:cs="Calibri"/>
        </w:rPr>
        <w:t>é</w:t>
      </w:r>
      <w:r w:rsidRPr="00195E92">
        <w:rPr>
          <w:lang w:val="fr-CA"/>
        </w:rPr>
        <w:t>voit</w:t>
      </w:r>
      <w:proofErr w:type="gramEnd"/>
      <w:r w:rsidRPr="00195E92">
        <w:rPr>
          <w:lang w:val="fr-CA"/>
        </w:rPr>
        <w:t xml:space="preserve"> (</w:t>
      </w:r>
      <w:proofErr w:type="spellStart"/>
      <w:r w:rsidRPr="00195E92">
        <w:rPr>
          <w:lang w:val="fr-CA"/>
        </w:rPr>
        <w:t>pr</w:t>
      </w:r>
      <w:proofErr w:type="spellEnd"/>
      <w:r w:rsidR="00B0353D">
        <w:rPr>
          <w:rFonts w:cs="Calibri"/>
        </w:rPr>
        <w:t>é</w:t>
      </w:r>
      <w:r w:rsidRPr="00195E92">
        <w:rPr>
          <w:lang w:val="fr-CA"/>
        </w:rPr>
        <w:t xml:space="preserve">voir) = </w:t>
      </w:r>
      <w:proofErr w:type="spellStart"/>
      <w:r w:rsidRPr="00195E92">
        <w:rPr>
          <w:lang w:val="fr-CA"/>
        </w:rPr>
        <w:t>forecast</w:t>
      </w:r>
      <w:proofErr w:type="spellEnd"/>
    </w:p>
  </w:footnote>
  <w:footnote w:id="7">
    <w:p w:rsidR="00D952B2" w:rsidRPr="00195E92" w:rsidRDefault="00D952B2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>
        <w:rPr>
          <w:rFonts w:ascii="Arial" w:hAnsi="Arial" w:cs="Arial"/>
          <w:color w:val="2B2E31"/>
          <w:sz w:val="18"/>
          <w:szCs w:val="18"/>
          <w:lang w:val="fr-CA"/>
        </w:rPr>
        <w:t xml:space="preserve"> </w:t>
      </w:r>
      <w:proofErr w:type="gramStart"/>
      <w:r w:rsidRPr="00D952B2">
        <w:rPr>
          <w:rFonts w:ascii="Arial" w:hAnsi="Arial" w:cs="Arial"/>
          <w:color w:val="2B2E31"/>
          <w:sz w:val="18"/>
          <w:szCs w:val="18"/>
          <w:lang w:val="fr-CA"/>
        </w:rPr>
        <w:t>la</w:t>
      </w:r>
      <w:proofErr w:type="gramEnd"/>
      <w:r w:rsidRPr="00D952B2">
        <w:rPr>
          <w:rFonts w:ascii="Arial" w:hAnsi="Arial" w:cs="Arial"/>
          <w:color w:val="2B2E31"/>
          <w:sz w:val="18"/>
          <w:szCs w:val="18"/>
          <w:lang w:val="fr-CA"/>
        </w:rPr>
        <w:t xml:space="preserve"> loi relative à la transition énergétique pour la croissance</w:t>
      </w:r>
      <w:r w:rsidRPr="00195E92">
        <w:rPr>
          <w:rFonts w:ascii="Arial" w:hAnsi="Arial" w:cs="Arial"/>
          <w:color w:val="2B2E31"/>
          <w:sz w:val="18"/>
          <w:szCs w:val="18"/>
          <w:lang w:val="fr-CA"/>
        </w:rPr>
        <w:t xml:space="preserve"> = nom de la loi pass</w:t>
      </w:r>
      <w:r>
        <w:rPr>
          <w:rFonts w:ascii="Arial" w:hAnsi="Arial" w:cs="Arial"/>
          <w:color w:val="2B2E31"/>
          <w:sz w:val="18"/>
          <w:szCs w:val="18"/>
          <w:lang w:val="fr-CA"/>
        </w:rPr>
        <w:t>é</w:t>
      </w:r>
      <w:r w:rsidRPr="00195E92">
        <w:rPr>
          <w:rFonts w:ascii="Arial" w:hAnsi="Arial" w:cs="Arial"/>
          <w:color w:val="2B2E31"/>
          <w:sz w:val="18"/>
          <w:szCs w:val="18"/>
          <w:lang w:val="fr-CA"/>
        </w:rPr>
        <w:t>e par l’</w:t>
      </w:r>
      <w:r>
        <w:rPr>
          <w:rFonts w:ascii="Arial" w:hAnsi="Arial" w:cs="Arial"/>
          <w:color w:val="2B2E31"/>
          <w:sz w:val="18"/>
          <w:szCs w:val="18"/>
          <w:lang w:val="fr-CA"/>
        </w:rPr>
        <w:t xml:space="preserve">Union </w:t>
      </w:r>
      <w:proofErr w:type="spellStart"/>
      <w:r>
        <w:rPr>
          <w:rFonts w:ascii="Arial" w:hAnsi="Arial" w:cs="Arial"/>
          <w:color w:val="2B2E31"/>
          <w:sz w:val="18"/>
          <w:szCs w:val="18"/>
          <w:lang w:val="fr-CA"/>
        </w:rPr>
        <w:t>europé</w:t>
      </w:r>
      <w:r w:rsidRPr="00195E92">
        <w:rPr>
          <w:rFonts w:ascii="Arial" w:hAnsi="Arial" w:cs="Arial"/>
          <w:color w:val="2B2E31"/>
          <w:sz w:val="18"/>
          <w:szCs w:val="18"/>
          <w:lang w:val="fr-CA"/>
        </w:rPr>
        <w:t>ene</w:t>
      </w:r>
      <w:proofErr w:type="spellEnd"/>
      <w:r w:rsidRPr="00195E92">
        <w:rPr>
          <w:rFonts w:ascii="Arial" w:hAnsi="Arial" w:cs="Arial"/>
          <w:color w:val="2B2E31"/>
          <w:sz w:val="18"/>
          <w:szCs w:val="18"/>
          <w:lang w:val="fr-CA"/>
        </w:rPr>
        <w:t xml:space="preserve"> le 30 ao</w:t>
      </w:r>
      <w:r>
        <w:rPr>
          <w:rFonts w:ascii="Arial" w:hAnsi="Arial" w:cs="Arial"/>
          <w:color w:val="2B2E31"/>
          <w:sz w:val="18"/>
          <w:szCs w:val="18"/>
          <w:lang w:val="fr-CA"/>
        </w:rPr>
        <w:t>û</w:t>
      </w:r>
      <w:r w:rsidRPr="00195E92">
        <w:rPr>
          <w:rFonts w:ascii="Arial" w:hAnsi="Arial" w:cs="Arial"/>
          <w:color w:val="2B2E31"/>
          <w:sz w:val="18"/>
          <w:szCs w:val="18"/>
          <w:lang w:val="fr-CA"/>
        </w:rPr>
        <w:t>t 2016</w:t>
      </w:r>
    </w:p>
  </w:footnote>
  <w:footnote w:id="8">
    <w:p w:rsidR="00D952B2" w:rsidRDefault="00D952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d’ici</w:t>
      </w:r>
      <w:proofErr w:type="spellEnd"/>
      <w:r>
        <w:t xml:space="preserve"> -= from now until</w:t>
      </w:r>
    </w:p>
  </w:footnote>
  <w:footnote w:id="9">
    <w:p w:rsidR="00D952B2" w:rsidRDefault="00D952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d</w:t>
      </w:r>
      <w:r>
        <w:rPr>
          <w:rFonts w:cs="Calibri"/>
        </w:rPr>
        <w:t>é</w:t>
      </w:r>
      <w:r>
        <w:t>cret</w:t>
      </w:r>
      <w:proofErr w:type="spellEnd"/>
      <w:r>
        <w:t xml:space="preserve"> = a decree/order</w:t>
      </w:r>
    </w:p>
  </w:footnote>
  <w:footnote w:id="10">
    <w:p w:rsidR="00D952B2" w:rsidRDefault="00D952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mettre</w:t>
      </w:r>
      <w:proofErr w:type="spellEnd"/>
      <w:r>
        <w:t xml:space="preserve"> </w:t>
      </w:r>
      <w:r>
        <w:rPr>
          <w:rFonts w:cs="Calibri"/>
        </w:rPr>
        <w:t>à</w:t>
      </w:r>
      <w:r>
        <w:t xml:space="preserve"> disposition = to provide</w:t>
      </w:r>
    </w:p>
  </w:footnote>
  <w:footnote w:id="11">
    <w:p w:rsidR="00D952B2" w:rsidRDefault="00D952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gobelets</w:t>
      </w:r>
      <w:proofErr w:type="spellEnd"/>
      <w:r>
        <w:t xml:space="preserve"> = cups</w:t>
      </w:r>
    </w:p>
  </w:footnote>
  <w:footnote w:id="12">
    <w:p w:rsidR="00D952B2" w:rsidRDefault="00D952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biologique</w:t>
      </w:r>
      <w:proofErr w:type="spellEnd"/>
      <w:r>
        <w:t xml:space="preserve"> = organic</w:t>
      </w:r>
    </w:p>
  </w:footnote>
  <w:footnote w:id="13">
    <w:p w:rsidR="00D952B2" w:rsidRDefault="00D952B2">
      <w:pPr>
        <w:pStyle w:val="FootnoteText"/>
      </w:pPr>
      <w:r>
        <w:rPr>
          <w:rStyle w:val="FootnoteReference"/>
        </w:rPr>
        <w:footnoteRef/>
      </w:r>
      <w:r>
        <w:t xml:space="preserve"> manufacturers</w:t>
      </w:r>
    </w:p>
  </w:footnote>
  <w:footnote w:id="14">
    <w:p w:rsidR="00D952B2" w:rsidRDefault="00D952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ap</w:t>
      </w:r>
      <w:r>
        <w:rPr>
          <w:rFonts w:cs="Calibri"/>
        </w:rPr>
        <w:t>é</w:t>
      </w:r>
      <w:r>
        <w:t>ros</w:t>
      </w:r>
      <w:proofErr w:type="spellEnd"/>
      <w:r>
        <w:t xml:space="preserve"> = appetizers</w:t>
      </w:r>
    </w:p>
  </w:footnote>
  <w:footnote w:id="15">
    <w:p w:rsidR="00D952B2" w:rsidRDefault="00D952B2">
      <w:pPr>
        <w:pStyle w:val="FootnoteText"/>
      </w:pPr>
      <w:r>
        <w:rPr>
          <w:rStyle w:val="FootnoteReference"/>
        </w:rPr>
        <w:footnoteRef/>
      </w:r>
      <w:r>
        <w:t xml:space="preserve"> or = yet</w:t>
      </w:r>
    </w:p>
  </w:footnote>
  <w:footnote w:id="16">
    <w:p w:rsidR="00D952B2" w:rsidRDefault="00D952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B0353D">
        <w:t>e</w:t>
      </w:r>
      <w:r>
        <w:t>nfouis</w:t>
      </w:r>
      <w:proofErr w:type="spellEnd"/>
      <w:r w:rsidR="00B0353D">
        <w:t xml:space="preserve"> = buried</w:t>
      </w:r>
    </w:p>
  </w:footnote>
  <w:footnote w:id="17">
    <w:p w:rsidR="00D952B2" w:rsidRDefault="00D952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d</w:t>
      </w:r>
      <w:r>
        <w:rPr>
          <w:rFonts w:cs="Calibri"/>
        </w:rPr>
        <w:t>é</w:t>
      </w:r>
      <w:r>
        <w:t>charge</w:t>
      </w:r>
      <w:proofErr w:type="spellEnd"/>
      <w:r>
        <w:t xml:space="preserve"> = landfill</w:t>
      </w:r>
    </w:p>
  </w:footnote>
  <w:footnote w:id="18">
    <w:p w:rsidR="00D952B2" w:rsidRDefault="00D952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ballot</w:t>
      </w:r>
      <w:r>
        <w:rPr>
          <w:rFonts w:cs="Calibri"/>
        </w:rPr>
        <w:t>é</w:t>
      </w:r>
      <w:proofErr w:type="spellEnd"/>
      <w:r>
        <w:t xml:space="preserve"> (balloter) = </w:t>
      </w:r>
      <w:r w:rsidR="00B0353D">
        <w:t>c</w:t>
      </w:r>
      <w:r>
        <w:t>arried away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2C4"/>
    <w:rsid w:val="0001431F"/>
    <w:rsid w:val="00195E92"/>
    <w:rsid w:val="00374231"/>
    <w:rsid w:val="005B400C"/>
    <w:rsid w:val="006C2C58"/>
    <w:rsid w:val="007443D3"/>
    <w:rsid w:val="007F52C4"/>
    <w:rsid w:val="00822512"/>
    <w:rsid w:val="009959F6"/>
    <w:rsid w:val="00B0353D"/>
    <w:rsid w:val="00BC3853"/>
    <w:rsid w:val="00D13923"/>
    <w:rsid w:val="00D65E9D"/>
    <w:rsid w:val="00D952B2"/>
    <w:rsid w:val="00EB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2"/>
        <o:r id="V:Rule9" type="connector" idref="#_x0000_s1035"/>
        <o:r id="V:Rule11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1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7F52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431F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F52C4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52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5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F52C4"/>
  </w:style>
  <w:style w:type="character" w:customStyle="1" w:styleId="Heading1Char">
    <w:name w:val="Heading 1 Char"/>
    <w:basedOn w:val="DefaultParagraphFont"/>
    <w:link w:val="Heading1"/>
    <w:uiPriority w:val="9"/>
    <w:rsid w:val="007F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ntry-meta">
    <w:name w:val="entry-meta"/>
    <w:basedOn w:val="Normal"/>
    <w:rsid w:val="007F5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author">
    <w:name w:val="entry-author"/>
    <w:basedOn w:val="DefaultParagraphFont"/>
    <w:rsid w:val="007F52C4"/>
  </w:style>
  <w:style w:type="character" w:customStyle="1" w:styleId="entry-author-name">
    <w:name w:val="entry-author-name"/>
    <w:basedOn w:val="DefaultParagraphFont"/>
    <w:rsid w:val="007F52C4"/>
  </w:style>
  <w:style w:type="character" w:customStyle="1" w:styleId="date">
    <w:name w:val="date"/>
    <w:basedOn w:val="DefaultParagraphFont"/>
    <w:rsid w:val="007F52C4"/>
  </w:style>
  <w:style w:type="character" w:customStyle="1" w:styleId="Heading3Char">
    <w:name w:val="Heading 3 Char"/>
    <w:basedOn w:val="DefaultParagraphFont"/>
    <w:link w:val="Heading3"/>
    <w:uiPriority w:val="9"/>
    <w:semiHidden/>
    <w:rsid w:val="007F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7F52C4"/>
    <w:rPr>
      <w:b/>
      <w:bCs/>
    </w:rPr>
  </w:style>
  <w:style w:type="character" w:styleId="Emphasis">
    <w:name w:val="Emphasis"/>
    <w:basedOn w:val="DefaultParagraphFont"/>
    <w:uiPriority w:val="20"/>
    <w:qFormat/>
    <w:rsid w:val="007F52C4"/>
    <w:rPr>
      <w:i/>
      <w:iCs/>
    </w:rPr>
  </w:style>
  <w:style w:type="character" w:customStyle="1" w:styleId="entry-comments-link">
    <w:name w:val="entry-comments-link"/>
    <w:basedOn w:val="DefaultParagraphFont"/>
    <w:rsid w:val="007F52C4"/>
  </w:style>
  <w:style w:type="paragraph" w:styleId="BalloonText">
    <w:name w:val="Balloon Text"/>
    <w:basedOn w:val="Normal"/>
    <w:link w:val="BalloonTextChar"/>
    <w:uiPriority w:val="99"/>
    <w:semiHidden/>
    <w:unhideWhenUsed/>
    <w:rsid w:val="007F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C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5E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E92"/>
  </w:style>
  <w:style w:type="character" w:styleId="FootnoteReference">
    <w:name w:val="footnote reference"/>
    <w:basedOn w:val="DefaultParagraphFont"/>
    <w:uiPriority w:val="99"/>
    <w:semiHidden/>
    <w:unhideWhenUsed/>
    <w:rsid w:val="00195E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2071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36" w:space="23" w:color="333333"/>
            <w:bottom w:val="none" w:sz="0" w:space="0" w:color="auto"/>
            <w:right w:val="none" w:sz="0" w:space="0" w:color="auto"/>
          </w:divBdr>
        </w:div>
      </w:divsChild>
    </w:div>
    <w:div w:id="631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69246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788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68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single" w:sz="6" w:space="4" w:color="DAD1C3"/>
                    <w:bottom w:val="single" w:sz="6" w:space="4" w:color="DAD1C3"/>
                    <w:right w:val="single" w:sz="6" w:space="4" w:color="DAD1C3"/>
                  </w:divBdr>
                </w:div>
              </w:divsChild>
            </w:div>
          </w:divsChild>
        </w:div>
        <w:div w:id="1407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E7E2DA"/>
          </w:divBdr>
          <w:divsChild>
            <w:div w:id="15802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5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01831">
                              <w:marLeft w:val="0"/>
                              <w:marRight w:val="45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9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27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649833">
                              <w:marLeft w:val="0"/>
                              <w:marRight w:val="45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0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531718">
                              <w:marLeft w:val="0"/>
                              <w:marRight w:val="45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04945">
                              <w:marLeft w:val="0"/>
                              <w:marRight w:val="45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9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1111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arisien.fr/societe/le-gobelet-en-plastique-un-poison-pour-la-planete-05-06-2015-4834695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dition.cnn.com/2016/09/19/europe/france-bans-plastic-cups-plat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parisien.fr/societe/le-gobelet-en-plastique-un-poison-pour-la-planete-05-06-2015-4834695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D8A2B-8BE3-4004-AF7C-E83A821F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2016-09-23T14:01:00Z</dcterms:created>
  <dcterms:modified xsi:type="dcterms:W3CDTF">2016-09-23T14:01:00Z</dcterms:modified>
</cp:coreProperties>
</file>