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ind w:hanging="90"/>
        <w:contextualSpacing w:val="0"/>
      </w:pPr>
      <w:r w:rsidDel="00000000" w:rsidR="00000000" w:rsidRPr="00000000">
        <w:drawing>
          <wp:inline distB="114300" distT="114300" distL="114300" distR="114300">
            <wp:extent cx="5886450" cy="3652838"/>
            <wp:effectExtent b="0" l="0" r="0" t="0"/>
            <wp:docPr id="1" name="image01.jpg" title=" | "/>
            <a:graphic>
              <a:graphicData uri="http://schemas.openxmlformats.org/drawingml/2006/picture">
                <pic:pic>
                  <pic:nvPicPr>
                    <pic:cNvPr id="0" name="image01.jpg" title=" | "/>
                    <pic:cNvPicPr preferRelativeResize="0"/>
                  </pic:nvPicPr>
                  <pic:blipFill>
                    <a:blip r:embed="rId6"/>
                    <a:srcRect b="0" l="0" r="0" t="0"/>
                    <a:stretch>
                      <a:fillRect/>
                    </a:stretch>
                  </pic:blipFill>
                  <pic:spPr>
                    <a:xfrm>
                      <a:off x="0" y="0"/>
                      <a:ext cx="5886450" cy="3652838"/>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1"/>
        <w:keepNext w:val="0"/>
        <w:keepLines w:val="0"/>
        <w:spacing w:after="0" w:before="220" w:line="265.2631578947369" w:lineRule="auto"/>
        <w:contextualSpacing w:val="0"/>
      </w:pPr>
      <w:bookmarkStart w:colFirst="0" w:colLast="0" w:name="_lnm58r4wqw8s" w:id="0"/>
      <w:bookmarkEnd w:id="0"/>
      <w:r w:rsidDel="00000000" w:rsidR="00000000" w:rsidRPr="00000000">
        <w:rPr>
          <w:b w:val="1"/>
          <w:color w:val="222222"/>
          <w:sz w:val="38"/>
          <w:szCs w:val="38"/>
          <w:rtl w:val="0"/>
        </w:rPr>
        <w:t xml:space="preserve">Vaccins : les Français, champions de la défiance</w:t>
      </w:r>
    </w:p>
    <w:p w:rsidR="00000000" w:rsidDel="00000000" w:rsidP="00000000" w:rsidRDefault="00000000" w:rsidRPr="00000000">
      <w:pPr>
        <w:spacing w:after="220" w:before="240" w:line="300" w:lineRule="auto"/>
        <w:contextualSpacing w:val="0"/>
      </w:pPr>
      <w:r w:rsidDel="00000000" w:rsidR="00000000" w:rsidRPr="00000000">
        <w:rPr>
          <w:color w:val="999999"/>
          <w:sz w:val="18"/>
          <w:szCs w:val="18"/>
          <w:rtl w:val="0"/>
        </w:rPr>
        <w:t xml:space="preserve">Par </w:t>
      </w:r>
      <w:r w:rsidDel="00000000" w:rsidR="00000000" w:rsidRPr="00000000">
        <w:rPr>
          <w:b w:val="1"/>
          <w:color w:val="999999"/>
          <w:sz w:val="18"/>
          <w:szCs w:val="18"/>
          <w:rtl w:val="0"/>
        </w:rPr>
        <w:t xml:space="preserve">La rédaction d'Allodocteurs.fr</w:t>
      </w:r>
      <w:r w:rsidDel="00000000" w:rsidR="00000000" w:rsidRPr="00000000">
        <w:rPr>
          <w:color w:val="999999"/>
          <w:sz w:val="18"/>
          <w:szCs w:val="18"/>
          <w:rtl w:val="0"/>
        </w:rPr>
        <w:t xml:space="preserve"> – France Télévisions</w:t>
      </w:r>
    </w:p>
    <w:p w:rsidR="00000000" w:rsidDel="00000000" w:rsidP="00000000" w:rsidRDefault="00000000" w:rsidRPr="00000000">
      <w:pPr>
        <w:spacing w:after="220" w:before="160" w:line="300" w:lineRule="auto"/>
        <w:contextualSpacing w:val="0"/>
      </w:pPr>
      <w:r w:rsidDel="00000000" w:rsidR="00000000" w:rsidRPr="00000000">
        <w:rPr>
          <w:color w:val="999999"/>
          <w:sz w:val="17"/>
          <w:szCs w:val="17"/>
          <w:rtl w:val="0"/>
        </w:rPr>
        <w:t xml:space="preserve">Mis à jour le 12/09/2016 | 16:49 – publié le 12/09/2016 | 11:12</w:t>
      </w:r>
    </w:p>
    <w:p w:rsidR="00000000" w:rsidDel="00000000" w:rsidP="00000000" w:rsidRDefault="00000000" w:rsidRPr="00000000">
      <w:pPr>
        <w:contextualSpacing w:val="0"/>
      </w:pPr>
      <w:r w:rsidDel="00000000" w:rsidR="00000000" w:rsidRPr="00000000">
        <w:rPr>
          <w:color w:val="333333"/>
          <w:sz w:val="23"/>
          <w:szCs w:val="23"/>
          <w:rtl w:val="0"/>
        </w:rPr>
        <w:t xml:space="preserve">Quelles mites rongent</w:t>
      </w:r>
      <w:r w:rsidDel="00000000" w:rsidR="00000000" w:rsidRPr="00000000">
        <w:rPr>
          <w:color w:val="333333"/>
          <w:sz w:val="23"/>
          <w:szCs w:val="23"/>
          <w:vertAlign w:val="superscript"/>
        </w:rPr>
        <w:footnoteReference w:customMarkFollows="0" w:id="0"/>
      </w:r>
      <w:r w:rsidDel="00000000" w:rsidR="00000000" w:rsidRPr="00000000">
        <w:rPr>
          <w:color w:val="333333"/>
          <w:sz w:val="23"/>
          <w:szCs w:val="23"/>
          <w:rtl w:val="0"/>
        </w:rPr>
        <w:t xml:space="preserve"> la </w:t>
      </w:r>
      <w:hyperlink r:id="rId7">
        <w:r w:rsidDel="00000000" w:rsidR="00000000" w:rsidRPr="00000000">
          <w:rPr>
            <w:b w:val="1"/>
            <w:sz w:val="23"/>
            <w:szCs w:val="23"/>
            <w:rtl w:val="0"/>
          </w:rPr>
          <w:t xml:space="preserve">couverture vaccinale</w:t>
        </w:r>
      </w:hyperlink>
      <w:r w:rsidDel="00000000" w:rsidR="00000000" w:rsidRPr="00000000">
        <w:rPr>
          <w:color w:val="333333"/>
          <w:sz w:val="23"/>
          <w:szCs w:val="23"/>
          <w:vertAlign w:val="superscript"/>
        </w:rPr>
        <w:footnoteReference w:customMarkFollows="0" w:id="1"/>
      </w:r>
      <w:r w:rsidDel="00000000" w:rsidR="00000000" w:rsidRPr="00000000">
        <w:rPr>
          <w:color w:val="333333"/>
          <w:sz w:val="23"/>
          <w:szCs w:val="23"/>
          <w:rtl w:val="0"/>
        </w:rPr>
        <w:t xml:space="preserve"> ? En 2015, pour la première fois, la couverture vaccinale des bébés a baissé d'environ</w:t>
      </w:r>
      <w:r w:rsidDel="00000000" w:rsidR="00000000" w:rsidRPr="00000000">
        <w:rPr>
          <w:color w:val="333333"/>
          <w:sz w:val="23"/>
          <w:szCs w:val="23"/>
          <w:vertAlign w:val="superscript"/>
        </w:rPr>
        <w:footnoteReference w:customMarkFollows="0" w:id="2"/>
      </w:r>
      <w:r w:rsidDel="00000000" w:rsidR="00000000" w:rsidRPr="00000000">
        <w:rPr>
          <w:color w:val="333333"/>
          <w:sz w:val="23"/>
          <w:szCs w:val="23"/>
          <w:rtl w:val="0"/>
        </w:rPr>
        <w:t xml:space="preserve"> 5% sur plusieurs vaccins de base (diphtérie, tétanos, polio, coqueluche et pneumonie à pneumocoque). Dans ce contexte, Marisol Touraine avait annoncé </w:t>
      </w:r>
      <w:hyperlink r:id="rId8">
        <w:r w:rsidDel="00000000" w:rsidR="00000000" w:rsidRPr="00000000">
          <w:rPr>
            <w:sz w:val="23"/>
            <w:szCs w:val="23"/>
            <w:rtl w:val="0"/>
          </w:rPr>
          <w:t xml:space="preserve">en janvier 2016</w:t>
        </w:r>
      </w:hyperlink>
      <w:r w:rsidDel="00000000" w:rsidR="00000000" w:rsidRPr="00000000">
        <w:rPr>
          <w:color w:val="333333"/>
          <w:sz w:val="23"/>
          <w:szCs w:val="23"/>
          <w:rtl w:val="0"/>
        </w:rPr>
        <w:t xml:space="preserve"> le lancement d’une consultation nationale par Internet sur les vaccins.</w:t>
      </w:r>
    </w:p>
    <w:p w:rsidR="00000000" w:rsidDel="00000000" w:rsidP="00000000" w:rsidRDefault="00000000" w:rsidRPr="00000000">
      <w:pPr>
        <w:contextualSpacing w:val="0"/>
      </w:pPr>
      <w:r w:rsidDel="00000000" w:rsidR="00000000" w:rsidRPr="00000000">
        <w:rPr>
          <w:color w:val="333333"/>
          <w:sz w:val="23"/>
          <w:szCs w:val="23"/>
          <w:rtl w:val="0"/>
        </w:rPr>
        <w:t xml:space="preserve">Deux jurys - composés de citoyens non spécialistes, de professionnels de santé</w:t>
      </w:r>
      <w:r w:rsidDel="00000000" w:rsidR="00000000" w:rsidRPr="00000000">
        <w:rPr>
          <w:color w:val="333333"/>
          <w:sz w:val="23"/>
          <w:szCs w:val="23"/>
          <w:vertAlign w:val="superscript"/>
        </w:rPr>
        <w:footnoteReference w:customMarkFollows="0" w:id="3"/>
      </w:r>
      <w:r w:rsidDel="00000000" w:rsidR="00000000" w:rsidRPr="00000000">
        <w:rPr>
          <w:color w:val="333333"/>
          <w:sz w:val="23"/>
          <w:szCs w:val="23"/>
          <w:rtl w:val="0"/>
        </w:rPr>
        <w:t xml:space="preserve"> indépendants et d’experts sanitaires - se sont réunis les 8, 9 et 10 juillet pour réaliser une première synthèse</w:t>
      </w:r>
      <w:r w:rsidDel="00000000" w:rsidR="00000000" w:rsidRPr="00000000">
        <w:rPr>
          <w:color w:val="333333"/>
          <w:sz w:val="23"/>
          <w:szCs w:val="23"/>
          <w:vertAlign w:val="superscript"/>
        </w:rPr>
        <w:footnoteReference w:customMarkFollows="0" w:id="4"/>
      </w:r>
      <w:r w:rsidDel="00000000" w:rsidR="00000000" w:rsidRPr="00000000">
        <w:rPr>
          <w:color w:val="333333"/>
          <w:sz w:val="23"/>
          <w:szCs w:val="23"/>
          <w:rtl w:val="0"/>
        </w:rPr>
        <w:t xml:space="preserve"> des contributions. Une nouvelle réunion de trois jours doit débuter vendredi 16 septembre, afin de poursuivre ce travail et de programmer d’éventuelles auditions</w:t>
      </w:r>
      <w:r w:rsidDel="00000000" w:rsidR="00000000" w:rsidRPr="00000000">
        <w:rPr>
          <w:color w:val="333333"/>
          <w:sz w:val="23"/>
          <w:szCs w:val="23"/>
          <w:vertAlign w:val="superscript"/>
        </w:rPr>
        <w:footnoteReference w:customMarkFollows="0" w:id="5"/>
      </w:r>
      <w:r w:rsidDel="00000000" w:rsidR="00000000" w:rsidRPr="00000000">
        <w:rPr>
          <w:color w:val="333333"/>
          <w:sz w:val="23"/>
          <w:szCs w:val="23"/>
          <w:rtl w:val="0"/>
        </w:rPr>
        <w:t xml:space="preserve"> complémentaires.</w:t>
      </w:r>
    </w:p>
    <w:p w:rsidR="00000000" w:rsidDel="00000000" w:rsidP="00000000" w:rsidRDefault="00000000" w:rsidRPr="00000000">
      <w:pPr>
        <w:contextualSpacing w:val="0"/>
      </w:pPr>
      <w:r w:rsidDel="00000000" w:rsidR="00000000" w:rsidRPr="00000000">
        <w:rPr>
          <w:color w:val="333333"/>
          <w:sz w:val="23"/>
          <w:szCs w:val="23"/>
          <w:rtl w:val="0"/>
        </w:rPr>
        <w:t xml:space="preserve">D’ici à la fin de l’année, un comité d’orientation, piloté par le professeur Alain Fischer, présentera ses conclusions sur la base de ces travaux</w:t>
      </w:r>
      <w:r w:rsidDel="00000000" w:rsidR="00000000" w:rsidRPr="00000000">
        <w:rPr>
          <w:color w:val="333333"/>
          <w:sz w:val="23"/>
          <w:szCs w:val="23"/>
          <w:vertAlign w:val="superscript"/>
        </w:rPr>
        <w:footnoteReference w:customMarkFollows="0" w:id="6"/>
      </w:r>
      <w:r w:rsidDel="00000000" w:rsidR="00000000" w:rsidRPr="00000000">
        <w:rPr>
          <w:color w:val="333333"/>
          <w:sz w:val="23"/>
          <w:szCs w:val="23"/>
          <w:rtl w:val="0"/>
        </w:rPr>
        <w:t xml:space="preserve">.</w:t>
      </w:r>
    </w:p>
    <w:p w:rsidR="00000000" w:rsidDel="00000000" w:rsidP="00000000" w:rsidRDefault="00000000" w:rsidRPr="00000000">
      <w:pPr>
        <w:pStyle w:val="Heading2"/>
        <w:keepNext w:val="0"/>
        <w:keepLines w:val="0"/>
        <w:spacing w:after="300" w:before="300" w:line="264" w:lineRule="auto"/>
        <w:contextualSpacing w:val="0"/>
      </w:pPr>
      <w:bookmarkStart w:colFirst="0" w:colLast="0" w:name="_azh50bo1x39j" w:id="1"/>
      <w:bookmarkEnd w:id="1"/>
      <w:r w:rsidDel="00000000" w:rsidR="00000000" w:rsidRPr="00000000">
        <w:rPr>
          <w:b w:val="1"/>
          <w:color w:val="444444"/>
          <w:sz w:val="30"/>
          <w:szCs w:val="30"/>
          <w:rtl w:val="0"/>
        </w:rPr>
        <w:t xml:space="preserve">Deux Français sur cinq "doutent"</w:t>
      </w:r>
      <w:r w:rsidDel="00000000" w:rsidR="00000000" w:rsidRPr="00000000">
        <w:rPr>
          <w:b w:val="1"/>
          <w:color w:val="444444"/>
          <w:sz w:val="30"/>
          <w:szCs w:val="30"/>
          <w:vertAlign w:val="superscript"/>
        </w:rPr>
        <w:footnoteReference w:customMarkFollows="0" w:id="7"/>
      </w:r>
      <w:r w:rsidDel="00000000" w:rsidR="00000000" w:rsidRPr="00000000">
        <w:rPr>
          <w:rtl w:val="0"/>
        </w:rPr>
      </w:r>
    </w:p>
    <w:p w:rsidR="00000000" w:rsidDel="00000000" w:rsidP="00000000" w:rsidRDefault="00000000" w:rsidRPr="00000000">
      <w:pPr>
        <w:contextualSpacing w:val="0"/>
      </w:pPr>
      <w:r w:rsidDel="00000000" w:rsidR="00000000" w:rsidRPr="00000000">
        <w:rPr>
          <w:color w:val="333333"/>
          <w:sz w:val="23"/>
          <w:szCs w:val="23"/>
          <w:rtl w:val="0"/>
        </w:rPr>
        <w:t xml:space="preserve">Hasard des calendriers, une semaine avant la seconde réunion des jurys, </w:t>
      </w:r>
      <w:hyperlink r:id="rId9">
        <w:r w:rsidDel="00000000" w:rsidR="00000000" w:rsidRPr="00000000">
          <w:rPr>
            <w:sz w:val="23"/>
            <w:szCs w:val="23"/>
            <w:rtl w:val="0"/>
          </w:rPr>
          <w:t xml:space="preserve">un rapport accablant</w:t>
        </w:r>
      </w:hyperlink>
      <w:r w:rsidDel="00000000" w:rsidR="00000000" w:rsidRPr="00000000">
        <w:rPr>
          <w:color w:val="333333"/>
          <w:sz w:val="23"/>
          <w:szCs w:val="23"/>
          <w:vertAlign w:val="superscript"/>
        </w:rPr>
        <w:footnoteReference w:customMarkFollows="0" w:id="8"/>
      </w:r>
      <w:r w:rsidDel="00000000" w:rsidR="00000000" w:rsidRPr="00000000">
        <w:rPr>
          <w:color w:val="333333"/>
          <w:sz w:val="23"/>
          <w:szCs w:val="23"/>
          <w:rtl w:val="0"/>
        </w:rPr>
        <w:t xml:space="preserve"> a été présenté par les membres du </w:t>
      </w:r>
      <w:r w:rsidDel="00000000" w:rsidR="00000000" w:rsidRPr="00000000">
        <w:rPr>
          <w:i w:val="1"/>
          <w:color w:val="333333"/>
          <w:sz w:val="23"/>
          <w:szCs w:val="23"/>
          <w:rtl w:val="0"/>
        </w:rPr>
        <w:t xml:space="preserve">Vaccine Confidence Project</w:t>
      </w:r>
      <w:r w:rsidDel="00000000" w:rsidR="00000000" w:rsidRPr="00000000">
        <w:rPr>
          <w:color w:val="333333"/>
          <w:sz w:val="23"/>
          <w:szCs w:val="23"/>
          <w:rtl w:val="0"/>
        </w:rPr>
        <w:t xml:space="preserve"> de l'école d’hygiène et de médecine tropicale de Londres. Selon les données</w:t>
      </w:r>
      <w:r w:rsidDel="00000000" w:rsidR="00000000" w:rsidRPr="00000000">
        <w:rPr>
          <w:color w:val="333333"/>
          <w:sz w:val="23"/>
          <w:szCs w:val="23"/>
          <w:vertAlign w:val="superscript"/>
        </w:rPr>
        <w:footnoteReference w:customMarkFollows="0" w:id="9"/>
      </w:r>
      <w:r w:rsidDel="00000000" w:rsidR="00000000" w:rsidRPr="00000000">
        <w:rPr>
          <w:color w:val="333333"/>
          <w:sz w:val="23"/>
          <w:szCs w:val="23"/>
          <w:rtl w:val="0"/>
        </w:rPr>
        <w:t xml:space="preserve"> collectées par les chercheurs auprès de 66.000 personnes originaires de 67 pays, la nation où la proportion de personnes qui estime que "les vaccins ne sont pas sûrs" est le plus élevée est... la France.</w:t>
      </w:r>
    </w:p>
    <w:p w:rsidR="00000000" w:rsidDel="00000000" w:rsidP="00000000" w:rsidRDefault="00000000" w:rsidRPr="00000000">
      <w:pPr>
        <w:contextualSpacing w:val="0"/>
      </w:pPr>
      <w:r w:rsidDel="00000000" w:rsidR="00000000" w:rsidRPr="00000000">
        <w:rPr>
          <w:color w:val="333333"/>
          <w:sz w:val="23"/>
          <w:szCs w:val="23"/>
          <w:rtl w:val="0"/>
        </w:rPr>
        <w:t xml:space="preserve">41% des Français "doutent". C’est plus de trois fois la moyenne mondiale. Au palmarès</w:t>
      </w:r>
      <w:r w:rsidDel="00000000" w:rsidR="00000000" w:rsidRPr="00000000">
        <w:rPr>
          <w:color w:val="333333"/>
          <w:sz w:val="23"/>
          <w:szCs w:val="23"/>
          <w:vertAlign w:val="superscript"/>
        </w:rPr>
        <w:footnoteReference w:customMarkFollows="0" w:id="10"/>
      </w:r>
      <w:r w:rsidDel="00000000" w:rsidR="00000000" w:rsidRPr="00000000">
        <w:rPr>
          <w:color w:val="333333"/>
          <w:sz w:val="23"/>
          <w:szCs w:val="23"/>
          <w:rtl w:val="0"/>
        </w:rPr>
        <w:t xml:space="preserve"> de la défiance, on trouve ensuite la Bosnie-Herzégovine (36%), la Russie (28%), la Mongolie (27%) puis la Grèce (25% à égalité avec le Japon et l'Ukraine), la Slovénie (22%) et l'Arménie (21%).</w:t>
      </w:r>
    </w:p>
    <w:p w:rsidR="00000000" w:rsidDel="00000000" w:rsidP="00000000" w:rsidRDefault="00000000" w:rsidRPr="00000000">
      <w:pPr>
        <w:contextualSpacing w:val="0"/>
      </w:pPr>
      <w:r w:rsidDel="00000000" w:rsidR="00000000" w:rsidRPr="00000000">
        <w:rPr>
          <w:color w:val="333333"/>
          <w:sz w:val="23"/>
          <w:szCs w:val="23"/>
          <w:rtl w:val="0"/>
        </w:rPr>
        <w:t xml:space="preserve">Au delà de la question de la </w:t>
      </w:r>
      <w:r w:rsidDel="00000000" w:rsidR="00000000" w:rsidRPr="00000000">
        <w:rPr>
          <w:b w:val="1"/>
          <w:color w:val="333333"/>
          <w:sz w:val="23"/>
          <w:szCs w:val="23"/>
          <w:rtl w:val="0"/>
        </w:rPr>
        <w:t xml:space="preserve">sûreté</w:t>
      </w:r>
      <w:r w:rsidDel="00000000" w:rsidR="00000000" w:rsidRPr="00000000">
        <w:rPr>
          <w:b w:val="1"/>
          <w:color w:val="333333"/>
          <w:sz w:val="23"/>
          <w:szCs w:val="23"/>
          <w:vertAlign w:val="superscript"/>
        </w:rPr>
        <w:footnoteReference w:customMarkFollows="0" w:id="11"/>
      </w:r>
      <w:r w:rsidDel="00000000" w:rsidR="00000000" w:rsidRPr="00000000">
        <w:rPr>
          <w:color w:val="333333"/>
          <w:sz w:val="23"/>
          <w:szCs w:val="23"/>
          <w:rtl w:val="0"/>
        </w:rPr>
        <w:t xml:space="preserve">, ce sont </w:t>
      </w:r>
      <w:r w:rsidDel="00000000" w:rsidR="00000000" w:rsidRPr="00000000">
        <w:rPr>
          <w:b w:val="1"/>
          <w:color w:val="333333"/>
          <w:sz w:val="23"/>
          <w:szCs w:val="23"/>
          <w:rtl w:val="0"/>
        </w:rPr>
        <w:t xml:space="preserve">17% qui doutent de leur efficacité</w:t>
      </w:r>
      <w:r w:rsidDel="00000000" w:rsidR="00000000" w:rsidRPr="00000000">
        <w:rPr>
          <w:b w:val="1"/>
          <w:color w:val="333333"/>
          <w:sz w:val="23"/>
          <w:szCs w:val="23"/>
          <w:vertAlign w:val="superscript"/>
        </w:rPr>
        <w:footnoteReference w:customMarkFollows="0" w:id="12"/>
      </w:r>
      <w:r w:rsidDel="00000000" w:rsidR="00000000" w:rsidRPr="00000000">
        <w:rPr>
          <w:color w:val="333333"/>
          <w:sz w:val="23"/>
          <w:szCs w:val="23"/>
          <w:rtl w:val="0"/>
        </w:rPr>
        <w:t xml:space="preserve">. Pour 12%,</w:t>
      </w:r>
      <w:r w:rsidDel="00000000" w:rsidR="00000000" w:rsidRPr="00000000">
        <w:rPr>
          <w:b w:val="1"/>
          <w:color w:val="333333"/>
          <w:sz w:val="23"/>
          <w:szCs w:val="23"/>
          <w:rtl w:val="0"/>
        </w:rPr>
        <w:t xml:space="preserve"> les vaccins infantiles "ne sont pas importants"</w:t>
      </w:r>
      <w:r w:rsidDel="00000000" w:rsidR="00000000" w:rsidRPr="00000000">
        <w:rPr>
          <w:color w:val="333333"/>
          <w:sz w:val="23"/>
          <w:szCs w:val="23"/>
          <w:rtl w:val="0"/>
        </w:rPr>
        <w:t xml:space="preserve">.</w:t>
      </w:r>
    </w:p>
    <w:p w:rsidR="00000000" w:rsidDel="00000000" w:rsidP="00000000" w:rsidRDefault="00000000" w:rsidRPr="00000000">
      <w:pPr>
        <w:pStyle w:val="Heading2"/>
        <w:keepNext w:val="0"/>
        <w:keepLines w:val="0"/>
        <w:spacing w:after="300" w:before="300" w:line="264" w:lineRule="auto"/>
        <w:contextualSpacing w:val="0"/>
      </w:pPr>
      <w:bookmarkStart w:colFirst="0" w:colLast="0" w:name="_yk8s0l69zwpq" w:id="2"/>
      <w:bookmarkEnd w:id="2"/>
      <w:r w:rsidDel="00000000" w:rsidR="00000000" w:rsidRPr="00000000">
        <w:rPr>
          <w:b w:val="1"/>
          <w:color w:val="444444"/>
          <w:sz w:val="30"/>
          <w:szCs w:val="30"/>
          <w:rtl w:val="0"/>
        </w:rPr>
        <w:t xml:space="preserve">Polémiques médiatiques contre données scientifiques</w:t>
      </w:r>
    </w:p>
    <w:p w:rsidR="00000000" w:rsidDel="00000000" w:rsidP="00000000" w:rsidRDefault="00000000" w:rsidRPr="00000000">
      <w:pPr>
        <w:contextualSpacing w:val="0"/>
      </w:pPr>
      <w:r w:rsidDel="00000000" w:rsidR="00000000" w:rsidRPr="00000000">
        <w:rPr>
          <w:color w:val="333333"/>
          <w:sz w:val="23"/>
          <w:szCs w:val="23"/>
          <w:rtl w:val="0"/>
        </w:rPr>
        <w:t xml:space="preserve">De l’avis des chercheurs, les polémiques médiatisées</w:t>
      </w:r>
      <w:r w:rsidDel="00000000" w:rsidR="00000000" w:rsidRPr="00000000">
        <w:rPr>
          <w:color w:val="333333"/>
          <w:sz w:val="23"/>
          <w:szCs w:val="23"/>
          <w:vertAlign w:val="superscript"/>
        </w:rPr>
        <w:footnoteReference w:customMarkFollows="0" w:id="13"/>
      </w:r>
      <w:r w:rsidDel="00000000" w:rsidR="00000000" w:rsidRPr="00000000">
        <w:rPr>
          <w:color w:val="333333"/>
          <w:sz w:val="23"/>
          <w:szCs w:val="23"/>
          <w:rtl w:val="0"/>
        </w:rPr>
        <w:t xml:space="preserve"> sur les effets indésirables de plusieurs vaccins (</w:t>
      </w:r>
      <w:hyperlink r:id="rId10">
        <w:r w:rsidDel="00000000" w:rsidR="00000000" w:rsidRPr="00000000">
          <w:rPr>
            <w:sz w:val="23"/>
            <w:szCs w:val="23"/>
            <w:rtl w:val="0"/>
          </w:rPr>
          <w:t xml:space="preserve">hépatite B</w:t>
        </w:r>
      </w:hyperlink>
      <w:r w:rsidDel="00000000" w:rsidR="00000000" w:rsidRPr="00000000">
        <w:rPr>
          <w:color w:val="333333"/>
          <w:sz w:val="23"/>
          <w:szCs w:val="23"/>
          <w:rtl w:val="0"/>
        </w:rPr>
        <w:t xml:space="preserve">, </w:t>
      </w:r>
      <w:hyperlink r:id="rId11">
        <w:r w:rsidDel="00000000" w:rsidR="00000000" w:rsidRPr="00000000">
          <w:rPr>
            <w:sz w:val="23"/>
            <w:szCs w:val="23"/>
            <w:rtl w:val="0"/>
          </w:rPr>
          <w:t xml:space="preserve">papillomavirus humains</w:t>
        </w:r>
      </w:hyperlink>
      <w:r w:rsidDel="00000000" w:rsidR="00000000" w:rsidRPr="00000000">
        <w:rPr>
          <w:color w:val="333333"/>
          <w:sz w:val="23"/>
          <w:szCs w:val="23"/>
          <w:rtl w:val="0"/>
        </w:rPr>
        <w:t xml:space="preserve">, </w:t>
      </w:r>
      <w:hyperlink r:id="rId12">
        <w:r w:rsidDel="00000000" w:rsidR="00000000" w:rsidRPr="00000000">
          <w:rPr>
            <w:sz w:val="23"/>
            <w:szCs w:val="23"/>
            <w:rtl w:val="0"/>
          </w:rPr>
          <w:t xml:space="preserve">grippe A H1N1</w:t>
        </w:r>
      </w:hyperlink>
      <w:r w:rsidDel="00000000" w:rsidR="00000000" w:rsidRPr="00000000">
        <w:rPr>
          <w:color w:val="333333"/>
          <w:sz w:val="23"/>
          <w:szCs w:val="23"/>
          <w:rtl w:val="0"/>
        </w:rPr>
        <w:t xml:space="preserve">) pourraient être la principale cause de ce record. Dans ce climat, les conclusions sans appel des études scientifiques </w:t>
      </w:r>
      <w:hyperlink r:id="rId13">
        <w:r w:rsidDel="00000000" w:rsidR="00000000" w:rsidRPr="00000000">
          <w:rPr>
            <w:sz w:val="23"/>
            <w:szCs w:val="23"/>
            <w:rtl w:val="0"/>
          </w:rPr>
          <w:t xml:space="preserve">quant à l'innocuité des vaccins</w:t>
        </w:r>
      </w:hyperlink>
      <w:r w:rsidDel="00000000" w:rsidR="00000000" w:rsidRPr="00000000">
        <w:rPr>
          <w:color w:val="333333"/>
          <w:sz w:val="23"/>
          <w:szCs w:val="23"/>
          <w:rtl w:val="0"/>
        </w:rPr>
        <w:t xml:space="preserve">, ou les données plus que rassurantes issues des suivis de pharmacovigilance</w:t>
      </w:r>
      <w:r w:rsidDel="00000000" w:rsidR="00000000" w:rsidRPr="00000000">
        <w:rPr>
          <w:color w:val="333333"/>
          <w:sz w:val="23"/>
          <w:szCs w:val="23"/>
          <w:vertAlign w:val="superscript"/>
        </w:rPr>
        <w:footnoteReference w:customMarkFollows="0" w:id="14"/>
      </w:r>
      <w:r w:rsidDel="00000000" w:rsidR="00000000" w:rsidRPr="00000000">
        <w:rPr>
          <w:color w:val="333333"/>
          <w:sz w:val="23"/>
          <w:szCs w:val="23"/>
          <w:rtl w:val="0"/>
        </w:rPr>
        <w:t xml:space="preserve">, semblent inaudibles.</w:t>
      </w:r>
    </w:p>
    <w:p w:rsidR="00000000" w:rsidDel="00000000" w:rsidP="00000000" w:rsidRDefault="00000000" w:rsidRPr="00000000">
      <w:pPr>
        <w:contextualSpacing w:val="0"/>
      </w:pPr>
      <w:r w:rsidDel="00000000" w:rsidR="00000000" w:rsidRPr="00000000">
        <w:rPr>
          <w:color w:val="333333"/>
          <w:sz w:val="23"/>
          <w:szCs w:val="23"/>
          <w:rtl w:val="0"/>
        </w:rPr>
        <w:t xml:space="preserve">À ceci pourrait s’ajouter les interrogations nourries par plusieurs </w:t>
      </w:r>
      <w:hyperlink r:id="rId14">
        <w:r w:rsidDel="00000000" w:rsidR="00000000" w:rsidRPr="00000000">
          <w:rPr>
            <w:sz w:val="23"/>
            <w:szCs w:val="23"/>
            <w:rtl w:val="0"/>
          </w:rPr>
          <w:t xml:space="preserve">paradoxes de la politique vaccinale française</w:t>
        </w:r>
      </w:hyperlink>
      <w:r w:rsidDel="00000000" w:rsidR="00000000" w:rsidRPr="00000000">
        <w:rPr>
          <w:color w:val="333333"/>
          <w:sz w:val="23"/>
          <w:szCs w:val="23"/>
          <w:rtl w:val="0"/>
        </w:rPr>
        <w:t xml:space="preserve"> comme l'absence d'obligation pour les rappels</w:t>
      </w:r>
      <w:r w:rsidDel="00000000" w:rsidR="00000000" w:rsidRPr="00000000">
        <w:rPr>
          <w:color w:val="333333"/>
          <w:sz w:val="23"/>
          <w:szCs w:val="23"/>
          <w:vertAlign w:val="superscript"/>
        </w:rPr>
        <w:footnoteReference w:customMarkFollows="0" w:id="15"/>
      </w:r>
      <w:r w:rsidDel="00000000" w:rsidR="00000000" w:rsidRPr="00000000">
        <w:rPr>
          <w:color w:val="333333"/>
          <w:sz w:val="23"/>
          <w:szCs w:val="23"/>
          <w:rtl w:val="0"/>
        </w:rPr>
        <w:t xml:space="preserve">. Les débats philosophiques et éthiques opposant "liberté individuelle" contre "intérêt collectif" sont aussi </w:t>
      </w:r>
      <w:hyperlink r:id="rId15">
        <w:r w:rsidDel="00000000" w:rsidR="00000000" w:rsidRPr="00000000">
          <w:rPr>
            <w:sz w:val="23"/>
            <w:szCs w:val="23"/>
            <w:rtl w:val="0"/>
          </w:rPr>
          <w:t xml:space="preserve">très prégnants</w:t>
        </w:r>
      </w:hyperlink>
      <w:r w:rsidDel="00000000" w:rsidR="00000000" w:rsidRPr="00000000">
        <w:rPr>
          <w:color w:val="333333"/>
          <w:sz w:val="23"/>
          <w:szCs w:val="23"/>
          <w:vertAlign w:val="superscript"/>
        </w:rPr>
        <w:footnoteReference w:customMarkFollows="0" w:id="16"/>
      </w:r>
      <w:r w:rsidDel="00000000" w:rsidR="00000000" w:rsidRPr="00000000">
        <w:rPr>
          <w:color w:val="333333"/>
          <w:sz w:val="23"/>
          <w:szCs w:val="23"/>
          <w:rtl w:val="0"/>
        </w:rPr>
        <w:t xml:space="preserve"> sur notre territoire.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36"/>
          <w:szCs w:val="36"/>
          <w:u w:val="single"/>
          <w:rtl w:val="0"/>
        </w:rPr>
        <w:t xml:space="preserve">Questions:</w:t>
      </w:r>
    </w:p>
    <w:p w:rsidR="00000000" w:rsidDel="00000000" w:rsidP="00000000" w:rsidRDefault="00000000" w:rsidRPr="00000000">
      <w:pPr>
        <w:spacing w:line="480" w:lineRule="auto"/>
        <w:contextualSpacing w:val="0"/>
      </w:pPr>
      <w:r w:rsidDel="00000000" w:rsidR="00000000" w:rsidRPr="00000000">
        <w:rPr>
          <w:b w:val="1"/>
          <w:sz w:val="28"/>
          <w:szCs w:val="28"/>
          <w:u w:val="single"/>
          <w:rtl w:val="0"/>
        </w:rPr>
        <w:t xml:space="preserve">Compréhension:</w:t>
      </w:r>
    </w:p>
    <w:p w:rsidR="00000000" w:rsidDel="00000000" w:rsidP="00000000" w:rsidRDefault="00000000" w:rsidRPr="00000000">
      <w:pPr>
        <w:numPr>
          <w:ilvl w:val="0"/>
          <w:numId w:val="1"/>
        </w:numPr>
        <w:spacing w:line="480" w:lineRule="auto"/>
        <w:ind w:left="720" w:hanging="360"/>
        <w:contextualSpacing w:val="1"/>
        <w:rPr>
          <w:b w:val="1"/>
          <w:sz w:val="24"/>
          <w:szCs w:val="24"/>
          <w:u w:val="none"/>
        </w:rPr>
      </w:pPr>
      <w:r w:rsidDel="00000000" w:rsidR="00000000" w:rsidRPr="00000000">
        <w:rPr>
          <w:b w:val="1"/>
          <w:sz w:val="24"/>
          <w:szCs w:val="24"/>
          <w:rtl w:val="0"/>
        </w:rPr>
        <w:t xml:space="preserve">Qu’est-ce qu’un vaccin?</w:t>
      </w:r>
    </w:p>
    <w:p w:rsidR="00000000" w:rsidDel="00000000" w:rsidP="00000000" w:rsidRDefault="00000000" w:rsidRPr="00000000">
      <w:pPr>
        <w:numPr>
          <w:ilvl w:val="0"/>
          <w:numId w:val="1"/>
        </w:numPr>
        <w:spacing w:line="480" w:lineRule="auto"/>
        <w:ind w:left="720" w:hanging="360"/>
        <w:contextualSpacing w:val="1"/>
        <w:rPr>
          <w:u w:val="none"/>
        </w:rPr>
      </w:pPr>
      <w:r w:rsidDel="00000000" w:rsidR="00000000" w:rsidRPr="00000000">
        <w:rPr>
          <w:b w:val="1"/>
          <w:sz w:val="24"/>
          <w:szCs w:val="24"/>
          <w:rtl w:val="0"/>
        </w:rPr>
        <w:t xml:space="preserve">Quels sont les vaccins que l’article a mentionné?</w:t>
      </w:r>
    </w:p>
    <w:p w:rsidR="00000000" w:rsidDel="00000000" w:rsidP="00000000" w:rsidRDefault="00000000" w:rsidRPr="00000000">
      <w:pPr>
        <w:numPr>
          <w:ilvl w:val="0"/>
          <w:numId w:val="1"/>
        </w:numPr>
        <w:spacing w:line="480" w:lineRule="auto"/>
        <w:ind w:left="720" w:hanging="360"/>
        <w:contextualSpacing w:val="1"/>
        <w:rPr>
          <w:b w:val="1"/>
          <w:sz w:val="24"/>
          <w:szCs w:val="24"/>
          <w:u w:val="none"/>
        </w:rPr>
      </w:pPr>
      <w:r w:rsidDel="00000000" w:rsidR="00000000" w:rsidRPr="00000000">
        <w:rPr>
          <w:b w:val="1"/>
          <w:sz w:val="24"/>
          <w:szCs w:val="24"/>
          <w:rtl w:val="0"/>
        </w:rPr>
        <w:t xml:space="preserve">Quelle est la signification de la France dans la discussion des vaccins?</w:t>
      </w:r>
    </w:p>
    <w:p w:rsidR="00000000" w:rsidDel="00000000" w:rsidP="00000000" w:rsidRDefault="00000000" w:rsidRPr="00000000">
      <w:pPr>
        <w:numPr>
          <w:ilvl w:val="0"/>
          <w:numId w:val="1"/>
        </w:numPr>
        <w:spacing w:line="480" w:lineRule="auto"/>
        <w:ind w:left="720" w:hanging="360"/>
        <w:contextualSpacing w:val="1"/>
        <w:rPr>
          <w:b w:val="1"/>
          <w:sz w:val="24"/>
          <w:szCs w:val="24"/>
          <w:u w:val="none"/>
        </w:rPr>
      </w:pPr>
      <w:r w:rsidDel="00000000" w:rsidR="00000000" w:rsidRPr="00000000">
        <w:rPr>
          <w:b w:val="1"/>
          <w:sz w:val="24"/>
          <w:szCs w:val="24"/>
          <w:rtl w:val="0"/>
        </w:rPr>
        <w:t xml:space="preserve">Quelles sont des problèmes que les citoyens de la France ont avec les vaccins qu’ils reçoivent?</w:t>
      </w:r>
    </w:p>
    <w:p w:rsidR="00000000" w:rsidDel="00000000" w:rsidP="00000000" w:rsidRDefault="00000000" w:rsidRPr="00000000">
      <w:pPr>
        <w:numPr>
          <w:ilvl w:val="0"/>
          <w:numId w:val="1"/>
        </w:numPr>
        <w:spacing w:line="480" w:lineRule="auto"/>
        <w:ind w:left="720" w:hanging="360"/>
        <w:contextualSpacing w:val="1"/>
        <w:rPr>
          <w:b w:val="1"/>
          <w:sz w:val="24"/>
          <w:szCs w:val="24"/>
          <w:u w:val="none"/>
        </w:rPr>
      </w:pPr>
      <w:r w:rsidDel="00000000" w:rsidR="00000000" w:rsidRPr="00000000">
        <w:rPr>
          <w:b w:val="1"/>
          <w:sz w:val="24"/>
          <w:szCs w:val="24"/>
          <w:rtl w:val="0"/>
        </w:rPr>
        <w:t xml:space="preserve">Quelle est la signification de la Bosnie-Herzégovine, la Russie, la Mongolie, la Grèce, le Japon, l’Ukraine, la Slovénie, et l’Arménie dans la discussion?</w:t>
      </w: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b w:val="1"/>
          <w:sz w:val="28"/>
          <w:szCs w:val="28"/>
          <w:u w:val="single"/>
          <w:rtl w:val="0"/>
        </w:rPr>
        <w:t xml:space="preserve">Discussion:</w:t>
      </w:r>
    </w:p>
    <w:p w:rsidR="00000000" w:rsidDel="00000000" w:rsidP="00000000" w:rsidRDefault="00000000" w:rsidRPr="00000000">
      <w:pPr>
        <w:numPr>
          <w:ilvl w:val="0"/>
          <w:numId w:val="1"/>
        </w:numPr>
        <w:spacing w:line="480" w:lineRule="auto"/>
        <w:ind w:left="720" w:hanging="360"/>
        <w:contextualSpacing w:val="1"/>
        <w:rPr>
          <w:b w:val="1"/>
          <w:sz w:val="24"/>
          <w:szCs w:val="24"/>
          <w:u w:val="none"/>
        </w:rPr>
      </w:pPr>
      <w:r w:rsidDel="00000000" w:rsidR="00000000" w:rsidRPr="00000000">
        <w:rPr>
          <w:b w:val="1"/>
          <w:sz w:val="24"/>
          <w:szCs w:val="24"/>
          <w:rtl w:val="0"/>
        </w:rPr>
        <w:t xml:space="preserve">Quel sont les effets possibles des vaccins sur la  santé?</w:t>
      </w:r>
    </w:p>
    <w:p w:rsidR="00000000" w:rsidDel="00000000" w:rsidP="00000000" w:rsidRDefault="00000000" w:rsidRPr="00000000">
      <w:pPr>
        <w:numPr>
          <w:ilvl w:val="0"/>
          <w:numId w:val="1"/>
        </w:numPr>
        <w:spacing w:line="480" w:lineRule="auto"/>
        <w:ind w:left="720" w:hanging="360"/>
        <w:contextualSpacing w:val="1"/>
        <w:rPr>
          <w:b w:val="1"/>
          <w:sz w:val="24"/>
          <w:szCs w:val="24"/>
          <w:u w:val="none"/>
        </w:rPr>
      </w:pPr>
      <w:r w:rsidDel="00000000" w:rsidR="00000000" w:rsidRPr="00000000">
        <w:rPr>
          <w:b w:val="1"/>
          <w:sz w:val="24"/>
          <w:szCs w:val="24"/>
          <w:rtl w:val="0"/>
        </w:rPr>
        <w:t xml:space="preserve">Quel est l’influence des doutes vaccinales en France sur les autres pays du monde?</w:t>
      </w:r>
    </w:p>
    <w:p w:rsidR="00000000" w:rsidDel="00000000" w:rsidP="00000000" w:rsidRDefault="00000000" w:rsidRPr="00000000">
      <w:pPr>
        <w:numPr>
          <w:ilvl w:val="0"/>
          <w:numId w:val="1"/>
        </w:numPr>
        <w:spacing w:line="480" w:lineRule="auto"/>
        <w:ind w:left="720" w:hanging="360"/>
        <w:contextualSpacing w:val="1"/>
        <w:rPr>
          <w:b w:val="1"/>
          <w:sz w:val="24"/>
          <w:szCs w:val="24"/>
          <w:u w:val="none"/>
        </w:rPr>
      </w:pPr>
      <w:r w:rsidDel="00000000" w:rsidR="00000000" w:rsidRPr="00000000">
        <w:rPr>
          <w:b w:val="1"/>
          <w:sz w:val="24"/>
          <w:szCs w:val="24"/>
          <w:rtl w:val="0"/>
        </w:rPr>
        <w:t xml:space="preserve">Quelle est l’implication politique dans la distribution des vaccins au France?</w:t>
      </w:r>
    </w:p>
    <w:p w:rsidR="00000000" w:rsidDel="00000000" w:rsidP="00000000" w:rsidRDefault="00000000" w:rsidRPr="00000000">
      <w:pPr>
        <w:numPr>
          <w:ilvl w:val="0"/>
          <w:numId w:val="1"/>
        </w:numPr>
        <w:spacing w:line="480" w:lineRule="auto"/>
        <w:ind w:left="720" w:hanging="360"/>
        <w:contextualSpacing w:val="1"/>
        <w:rPr>
          <w:b w:val="1"/>
          <w:sz w:val="24"/>
          <w:szCs w:val="24"/>
          <w:u w:val="none"/>
        </w:rPr>
      </w:pPr>
      <w:r w:rsidDel="00000000" w:rsidR="00000000" w:rsidRPr="00000000">
        <w:rPr>
          <w:b w:val="1"/>
          <w:sz w:val="24"/>
          <w:szCs w:val="24"/>
          <w:rtl w:val="0"/>
        </w:rPr>
        <w:t xml:space="preserve">Est-ce que tu penses que les vaccins sont une bonne idée ou non?</w:t>
      </w:r>
    </w:p>
    <w:p w:rsidR="00000000" w:rsidDel="00000000" w:rsidP="00000000" w:rsidRDefault="00000000" w:rsidRPr="00000000">
      <w:pPr>
        <w:numPr>
          <w:ilvl w:val="0"/>
          <w:numId w:val="1"/>
        </w:numPr>
        <w:spacing w:line="480" w:lineRule="auto"/>
        <w:ind w:left="720" w:hanging="360"/>
        <w:contextualSpacing w:val="1"/>
        <w:rPr>
          <w:b w:val="1"/>
          <w:sz w:val="24"/>
          <w:szCs w:val="24"/>
          <w:u w:val="none"/>
        </w:rPr>
      </w:pPr>
      <w:r w:rsidDel="00000000" w:rsidR="00000000" w:rsidRPr="00000000">
        <w:rPr>
          <w:b w:val="1"/>
          <w:sz w:val="24"/>
          <w:szCs w:val="24"/>
          <w:rtl w:val="0"/>
        </w:rPr>
        <w:t xml:space="preserve">Quelles actions est-ce que tu prends pour rester en bonne santé?</w:t>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otnote w:id="2">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Baissé d’environ= down to about</w:t>
      </w:r>
    </w:p>
  </w:footnote>
  <w:footnote w:id="3">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Professionnels de santé= health professionals</w:t>
      </w:r>
    </w:p>
  </w:footnote>
  <w:footnote w:id="4">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synthèse= synthesis</w:t>
      </w:r>
    </w:p>
  </w:footnote>
  <w:footnote w:id="6">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travaux= research</w:t>
      </w:r>
    </w:p>
  </w:footnote>
  <w:footnote w:id="7">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doutent= doubt</w:t>
      </w:r>
    </w:p>
  </w:footnote>
  <w:footnote w:id="8">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accablant= overwhelming</w:t>
      </w:r>
    </w:p>
  </w:footnote>
  <w:footnote w:id="9">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donnèes= data</w:t>
      </w:r>
    </w:p>
  </w:footnote>
  <w:footnote w:id="10">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palmarés= list</w:t>
      </w:r>
    </w:p>
  </w:footnote>
  <w:footnote w:id="11">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sûreté= safety</w:t>
      </w:r>
    </w:p>
  </w:footnote>
  <w:footnote w:id="12">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efficacité=efficacy</w:t>
      </w:r>
    </w:p>
  </w:footnote>
  <w:footnote w:id="13">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polémiques médiatisées= large scale controversies</w:t>
      </w:r>
    </w:p>
  </w:footnote>
  <w:footnote w:id="14">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pharmacovigilance= drug safety</w:t>
      </w:r>
    </w:p>
  </w:footnote>
  <w:footnote w:id="15">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rappels= reminders</w:t>
      </w:r>
    </w:p>
  </w:footnote>
  <w:footnote w:id="16">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prégnants= important</w:t>
      </w:r>
    </w:p>
  </w:footnote>
  <w:footnote w:id="0">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ronger= eat or gnaw</w:t>
      </w:r>
    </w:p>
  </w:footnote>
  <w:footnote w:id="1">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Couverture vaccinale= immunization coverage</w:t>
      </w:r>
    </w:p>
  </w:footnote>
  <w:footnote w:id="5">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auditions= hearing</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www.allodocteurs.fr/actualite-sante-que-reproche-t-on-au-gardasil-_11858.html" TargetMode="External"/><Relationship Id="rId10" Type="http://schemas.openxmlformats.org/officeDocument/2006/relationships/hyperlink" Target="http://www.allodocteurs.fr/maladies/foie-pancreas/hepatites/hepatite-b-un-virus-persistant_275.html" TargetMode="External"/><Relationship Id="rId13" Type="http://schemas.openxmlformats.org/officeDocument/2006/relationships/hyperlink" Target="http://www.allodocteurs.fr/se-soigner/vaccins/aluminium-dans-les-vaccins-pas-de-preuve-de-nocivite_19318.html" TargetMode="External"/><Relationship Id="rId12" Type="http://schemas.openxmlformats.org/officeDocument/2006/relationships/hyperlink" Target="http://www.allodocteurs.fr/maladies/orl/grippe/grippe-le-virus-a-h1n1_1452.html"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footnotes" Target="footnotes.xml"/><Relationship Id="rId4" Type="http://schemas.openxmlformats.org/officeDocument/2006/relationships/numbering" Target="numbering.xml"/><Relationship Id="rId9" Type="http://schemas.openxmlformats.org/officeDocument/2006/relationships/hyperlink" Target="http://www.vaccineconfidence.org/" TargetMode="External"/><Relationship Id="rId15" Type="http://schemas.openxmlformats.org/officeDocument/2006/relationships/hyperlink" Target="http://www.allodocteurs.fr/actualite-sante-l-obligation-vaccinale-conforme-a-la-constitution_15900.html" TargetMode="External"/><Relationship Id="rId14" Type="http://schemas.openxmlformats.org/officeDocument/2006/relationships/hyperlink" Target="http://www.allodocteurs.fr/actualite-sante-politique-vaccinale-trois-paradoxes-francais_14306.html" TargetMode="External"/><Relationship Id="rId5" Type="http://schemas.openxmlformats.org/officeDocument/2006/relationships/styles" Target="styles.xml"/><Relationship Id="rId6" Type="http://schemas.openxmlformats.org/officeDocument/2006/relationships/image" Target="media/image01.jpg"/><Relationship Id="rId7" Type="http://schemas.openxmlformats.org/officeDocument/2006/relationships/hyperlink" Target="http://www.allodocteurs.fr/se-soigner/vaccins/couverture-vaccinale-vaincre-une-epidemie-sans-vacciner-tout-le-monde_9229.html" TargetMode="External"/><Relationship Id="rId8" Type="http://schemas.openxmlformats.org/officeDocument/2006/relationships/hyperlink" Target="http://www.allodocteurs.fr/se-soigner/vaccins/vaccins-des-mesures-pour-relancer-la-confiance_18333.html" TargetMode="External"/></Relationships>
</file>